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69B0" w14:textId="0E59B33F" w:rsidR="00DE0D58" w:rsidRDefault="00000000">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长春市数智</w:t>
      </w:r>
      <w:proofErr w:type="gramStart"/>
      <w:r>
        <w:rPr>
          <w:rFonts w:ascii="方正小标宋简体" w:eastAsia="方正小标宋简体" w:hAnsi="方正小标宋简体" w:cs="方正小标宋简体" w:hint="eastAsia"/>
          <w:sz w:val="44"/>
          <w:szCs w:val="44"/>
        </w:rPr>
        <w:t>券</w:t>
      </w:r>
      <w:proofErr w:type="gramEnd"/>
      <w:r w:rsidR="007A090C">
        <w:rPr>
          <w:rFonts w:ascii="方正小标宋简体" w:eastAsia="方正小标宋简体" w:hAnsi="方正小标宋简体" w:cs="方正小标宋简体" w:hint="eastAsia"/>
          <w:sz w:val="44"/>
          <w:szCs w:val="44"/>
        </w:rPr>
        <w:t>服务指南</w:t>
      </w:r>
    </w:p>
    <w:p w14:paraId="4E23B200" w14:textId="77777777" w:rsidR="00DE0D58" w:rsidRDefault="00DE0D58">
      <w:pPr>
        <w:spacing w:line="576" w:lineRule="exact"/>
        <w:rPr>
          <w:rFonts w:ascii="仿宋" w:eastAsia="仿宋" w:hAnsi="仿宋" w:cs="仿宋"/>
          <w:sz w:val="32"/>
          <w:szCs w:val="32"/>
        </w:rPr>
      </w:pPr>
    </w:p>
    <w:p w14:paraId="4A707D05" w14:textId="77777777" w:rsidR="00DE0D58" w:rsidRDefault="00000000">
      <w:pPr>
        <w:spacing w:line="576" w:lineRule="exact"/>
        <w:jc w:val="center"/>
        <w:rPr>
          <w:rFonts w:ascii="黑体" w:eastAsia="黑体" w:hAnsi="黑体" w:cs="黑体"/>
          <w:sz w:val="32"/>
          <w:szCs w:val="32"/>
        </w:rPr>
      </w:pPr>
      <w:r>
        <w:rPr>
          <w:rFonts w:ascii="黑体" w:eastAsia="黑体" w:hAnsi="黑体" w:cs="黑体" w:hint="eastAsia"/>
          <w:sz w:val="32"/>
          <w:szCs w:val="32"/>
        </w:rPr>
        <w:t>第一章 总则</w:t>
      </w:r>
    </w:p>
    <w:p w14:paraId="58790C8B" w14:textId="77777777" w:rsidR="00DE0D58" w:rsidRDefault="00DE0D58">
      <w:pPr>
        <w:spacing w:line="576" w:lineRule="exact"/>
        <w:rPr>
          <w:rFonts w:ascii="仿宋" w:eastAsia="仿宋" w:hAnsi="仿宋" w:cs="仿宋"/>
          <w:sz w:val="32"/>
          <w:szCs w:val="32"/>
        </w:rPr>
      </w:pPr>
    </w:p>
    <w:p w14:paraId="36E327A2" w14:textId="06982C56" w:rsidR="00DE0D58" w:rsidRDefault="00000000">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第一条</w:t>
      </w:r>
      <w:r>
        <w:rPr>
          <w:rFonts w:ascii="仿宋" w:eastAsia="仿宋" w:hAnsi="仿宋" w:cs="仿宋" w:hint="eastAsia"/>
          <w:sz w:val="32"/>
          <w:szCs w:val="32"/>
        </w:rPr>
        <w:t xml:space="preserve"> 为深入实施数字经济发展战略，推进数字产业化、产业数字化和数据价值化，促进数字技术和实体经济深度融合，引导企业“上云、入网、用数、赋智、安防”，降低企业数字化转型成本，推动数字经济高质量发展，进一步落实《长春市支持数字产业发展若干政策》（以下简称《政策》），结合本市实际，制定本</w:t>
      </w:r>
      <w:r w:rsidR="008A6795">
        <w:rPr>
          <w:rFonts w:ascii="仿宋" w:eastAsia="仿宋" w:hAnsi="仿宋" w:cs="仿宋" w:hint="eastAsia"/>
          <w:sz w:val="32"/>
          <w:szCs w:val="32"/>
        </w:rPr>
        <w:t>服务指南</w:t>
      </w:r>
      <w:r>
        <w:rPr>
          <w:rFonts w:ascii="仿宋" w:eastAsia="仿宋" w:hAnsi="仿宋" w:cs="仿宋" w:hint="eastAsia"/>
          <w:sz w:val="32"/>
          <w:szCs w:val="32"/>
        </w:rPr>
        <w:t>。</w:t>
      </w:r>
    </w:p>
    <w:p w14:paraId="43744459" w14:textId="758BD4CC" w:rsidR="00DE0D58" w:rsidRDefault="00000000">
      <w:pPr>
        <w:spacing w:line="576" w:lineRule="exact"/>
        <w:ind w:firstLine="651"/>
        <w:rPr>
          <w:rFonts w:ascii="仿宋" w:eastAsia="仿宋" w:hAnsi="仿宋" w:cs="仿宋"/>
          <w:sz w:val="32"/>
          <w:szCs w:val="32"/>
        </w:rPr>
      </w:pPr>
      <w:r>
        <w:rPr>
          <w:rFonts w:ascii="黑体" w:eastAsia="黑体" w:hAnsi="黑体" w:cs="黑体" w:hint="eastAsia"/>
          <w:sz w:val="32"/>
          <w:szCs w:val="32"/>
        </w:rPr>
        <w:t>第二条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本</w:t>
      </w:r>
      <w:r w:rsidR="008A6795">
        <w:rPr>
          <w:rFonts w:ascii="仿宋" w:eastAsia="仿宋" w:hAnsi="仿宋" w:cs="仿宋" w:hint="eastAsia"/>
          <w:sz w:val="32"/>
          <w:szCs w:val="32"/>
        </w:rPr>
        <w:t>服务</w:t>
      </w:r>
      <w:proofErr w:type="gramEnd"/>
      <w:r w:rsidR="008A6795">
        <w:rPr>
          <w:rFonts w:ascii="仿宋" w:eastAsia="仿宋" w:hAnsi="仿宋" w:cs="仿宋" w:hint="eastAsia"/>
          <w:sz w:val="32"/>
          <w:szCs w:val="32"/>
        </w:rPr>
        <w:t>指南</w:t>
      </w:r>
      <w:r>
        <w:rPr>
          <w:rFonts w:ascii="仿宋" w:eastAsia="仿宋" w:hAnsi="仿宋" w:cs="仿宋" w:hint="eastAsia"/>
          <w:sz w:val="32"/>
          <w:szCs w:val="32"/>
        </w:rPr>
        <w:t>所称数智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，是指利用《政策》资金，支持本市企业（以下简称企业）向服务机构购买与其数字化转型直接相关的产品和服务的一种政策工具。数智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采用电子</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形式，由企业申领和使用。市政数局委托长春数据交易中心（以下简称市数据交易中心），通过长春</w:t>
      </w:r>
      <w:proofErr w:type="gramStart"/>
      <w:r>
        <w:rPr>
          <w:rFonts w:ascii="仿宋" w:eastAsia="仿宋" w:hAnsi="仿宋" w:cs="仿宋" w:hint="eastAsia"/>
          <w:sz w:val="32"/>
          <w:szCs w:val="32"/>
        </w:rPr>
        <w:t>数智云</w:t>
      </w:r>
      <w:proofErr w:type="gramEnd"/>
      <w:r>
        <w:rPr>
          <w:rFonts w:ascii="仿宋" w:eastAsia="仿宋" w:hAnsi="仿宋" w:cs="仿宋" w:hint="eastAsia"/>
          <w:sz w:val="32"/>
          <w:szCs w:val="32"/>
        </w:rPr>
        <w:t>平台（https://www.dbdatacloud.com/）开展数智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申领、使用和兑付相关的日常服务和具体管理工作。</w:t>
      </w:r>
    </w:p>
    <w:p w14:paraId="5E6EE3A5" w14:textId="77777777" w:rsidR="00DE0D58" w:rsidRDefault="00000000">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 xml:space="preserve">兑现资金使用和管理需遵守国家有关法律法规和财务规章制度，遵循诚信申请、公正受理、公开透明、择优支持、专款专用、科学管理、讲求绩效的原则。　　</w:t>
      </w:r>
    </w:p>
    <w:p w14:paraId="5F201E8F" w14:textId="77777777" w:rsidR="00DE0D58" w:rsidRDefault="00DE0D58">
      <w:pPr>
        <w:spacing w:line="576" w:lineRule="exact"/>
        <w:rPr>
          <w:rFonts w:ascii="仿宋" w:eastAsia="仿宋" w:hAnsi="仿宋" w:cs="仿宋"/>
          <w:sz w:val="32"/>
          <w:szCs w:val="32"/>
        </w:rPr>
      </w:pPr>
    </w:p>
    <w:p w14:paraId="6E414A2F" w14:textId="77777777" w:rsidR="00DE0D58" w:rsidRDefault="00000000">
      <w:pPr>
        <w:numPr>
          <w:ilvl w:val="255"/>
          <w:numId w:val="0"/>
        </w:numPr>
        <w:spacing w:line="576" w:lineRule="exact"/>
        <w:jc w:val="center"/>
        <w:rPr>
          <w:rFonts w:ascii="黑体" w:eastAsia="黑体" w:hAnsi="黑体" w:cs="黑体"/>
          <w:sz w:val="32"/>
          <w:szCs w:val="32"/>
        </w:rPr>
      </w:pPr>
      <w:r>
        <w:rPr>
          <w:rFonts w:ascii="黑体" w:eastAsia="黑体" w:hAnsi="黑体" w:cs="黑体" w:hint="eastAsia"/>
          <w:sz w:val="32"/>
          <w:szCs w:val="32"/>
        </w:rPr>
        <w:t>第二章 申领企业和服务机构</w:t>
      </w:r>
    </w:p>
    <w:p w14:paraId="59C7DF0A" w14:textId="77777777" w:rsidR="00DE0D58" w:rsidRDefault="00DE0D58">
      <w:pPr>
        <w:spacing w:line="576" w:lineRule="exact"/>
        <w:rPr>
          <w:rFonts w:ascii="仿宋" w:eastAsia="仿宋" w:hAnsi="仿宋" w:cs="仿宋"/>
          <w:sz w:val="32"/>
          <w:szCs w:val="32"/>
        </w:rPr>
      </w:pPr>
    </w:p>
    <w:p w14:paraId="63C4671C" w14:textId="77777777" w:rsidR="00DE0D58" w:rsidRDefault="00000000">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申领企业需同时满足以下条件：</w:t>
      </w:r>
    </w:p>
    <w:p w14:paraId="00B48D45" w14:textId="77777777" w:rsidR="00DE0D58" w:rsidRDefault="00000000">
      <w:pPr>
        <w:spacing w:line="576" w:lineRule="exact"/>
        <w:rPr>
          <w:rFonts w:ascii="仿宋" w:eastAsia="仿宋" w:hAnsi="仿宋" w:cs="仿宋"/>
          <w:sz w:val="32"/>
          <w:szCs w:val="32"/>
        </w:rPr>
      </w:pPr>
      <w:r>
        <w:rPr>
          <w:rFonts w:ascii="仿宋" w:eastAsia="仿宋" w:hAnsi="仿宋" w:cs="仿宋" w:hint="eastAsia"/>
          <w:sz w:val="32"/>
          <w:szCs w:val="32"/>
        </w:rPr>
        <w:lastRenderedPageBreak/>
        <w:t xml:space="preserve">　　（一）在长春市注册，具有独立法人资格；</w:t>
      </w:r>
    </w:p>
    <w:p w14:paraId="299C395B" w14:textId="77777777" w:rsidR="00DE0D58" w:rsidRDefault="00000000">
      <w:pPr>
        <w:spacing w:line="576" w:lineRule="exact"/>
        <w:rPr>
          <w:rFonts w:ascii="仿宋" w:eastAsia="仿宋" w:hAnsi="仿宋" w:cs="仿宋"/>
          <w:sz w:val="32"/>
          <w:szCs w:val="32"/>
        </w:rPr>
      </w:pPr>
      <w:r>
        <w:rPr>
          <w:rFonts w:ascii="仿宋" w:eastAsia="仿宋" w:hAnsi="仿宋" w:cs="仿宋" w:hint="eastAsia"/>
          <w:sz w:val="32"/>
          <w:szCs w:val="32"/>
        </w:rPr>
        <w:t xml:space="preserve">　　（二）企业管理规范、财务制度健全，近两年内无行政处罚记录，且不存在其他不良诚信记录；</w:t>
      </w:r>
    </w:p>
    <w:p w14:paraId="69510EC1" w14:textId="77777777" w:rsidR="00DE0D58" w:rsidRDefault="00000000">
      <w:pPr>
        <w:spacing w:line="576" w:lineRule="exact"/>
        <w:rPr>
          <w:rFonts w:ascii="仿宋" w:eastAsia="仿宋" w:hAnsi="仿宋" w:cs="仿宋"/>
          <w:sz w:val="32"/>
          <w:szCs w:val="32"/>
          <w:highlight w:val="yellow"/>
        </w:rPr>
      </w:pPr>
      <w:r>
        <w:rPr>
          <w:rFonts w:ascii="仿宋" w:eastAsia="仿宋" w:hAnsi="仿宋" w:cs="仿宋" w:hint="eastAsia"/>
          <w:sz w:val="32"/>
          <w:szCs w:val="32"/>
        </w:rPr>
        <w:t xml:space="preserve">　　（三）与所采购产品和服务的数智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服务机构无任何隶属、共建、产权纽带等关联关系。</w:t>
      </w:r>
    </w:p>
    <w:p w14:paraId="65AFFE61" w14:textId="77777777" w:rsidR="00DE0D58" w:rsidRDefault="00000000">
      <w:pPr>
        <w:spacing w:line="576" w:lineRule="exact"/>
        <w:ind w:firstLine="640"/>
        <w:rPr>
          <w:rFonts w:ascii="仿宋" w:eastAsia="仿宋" w:hAnsi="仿宋" w:cs="仿宋"/>
          <w:sz w:val="32"/>
          <w:szCs w:val="32"/>
        </w:rPr>
      </w:pPr>
      <w:r>
        <w:rPr>
          <w:rFonts w:ascii="黑体" w:eastAsia="黑体" w:hAnsi="黑体" w:cs="黑体" w:hint="eastAsia"/>
          <w:sz w:val="32"/>
          <w:szCs w:val="32"/>
        </w:rPr>
        <w:t>第五条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服务机构包括注册在本市的数据商和第三</w:t>
      </w:r>
      <w:proofErr w:type="gramStart"/>
      <w:r>
        <w:rPr>
          <w:rFonts w:ascii="仿宋" w:eastAsia="仿宋" w:hAnsi="仿宋" w:cs="仿宋" w:hint="eastAsia"/>
          <w:sz w:val="32"/>
          <w:szCs w:val="32"/>
        </w:rPr>
        <w:t>方专业</w:t>
      </w:r>
      <w:proofErr w:type="gramEnd"/>
      <w:r>
        <w:rPr>
          <w:rFonts w:ascii="仿宋" w:eastAsia="仿宋" w:hAnsi="仿宋" w:cs="仿宋" w:hint="eastAsia"/>
          <w:sz w:val="32"/>
          <w:szCs w:val="32"/>
        </w:rPr>
        <w:t>服务机构等。</w:t>
      </w:r>
    </w:p>
    <w:p w14:paraId="2BBEC5ED" w14:textId="77777777" w:rsidR="00DE0D58" w:rsidRDefault="00000000">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数据商是指在长春数据交易中心注册登记并获得相关登记认证凭证的，经数据交易中心认证授权后可以凭借其在特定领域的业务理解、产业资源和技术能力，搭建从数据提供者到数据使用者之间价值链条的专业性市场化机构。</w:t>
      </w:r>
    </w:p>
    <w:p w14:paraId="50BBE425" w14:textId="77777777" w:rsidR="00DE0D58" w:rsidRDefault="00000000">
      <w:pPr>
        <w:spacing w:line="576"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rPr>
        <w:t>第三</w:t>
      </w:r>
      <w:proofErr w:type="gramStart"/>
      <w:r>
        <w:rPr>
          <w:rFonts w:ascii="仿宋" w:eastAsia="仿宋" w:hAnsi="仿宋" w:cs="仿宋" w:hint="eastAsia"/>
          <w:sz w:val="32"/>
          <w:szCs w:val="32"/>
        </w:rPr>
        <w:t>方专业</w:t>
      </w:r>
      <w:proofErr w:type="gramEnd"/>
      <w:r>
        <w:rPr>
          <w:rFonts w:ascii="仿宋" w:eastAsia="仿宋" w:hAnsi="仿宋" w:cs="仿宋" w:hint="eastAsia"/>
          <w:sz w:val="32"/>
          <w:szCs w:val="32"/>
        </w:rPr>
        <w:t>服务机构是指在长春数据交易中心注册登记并获得相关登记认证凭证的，可接受委托有偿提供与数据交易相关的</w:t>
      </w:r>
      <w:proofErr w:type="gramStart"/>
      <w:r>
        <w:rPr>
          <w:rFonts w:ascii="仿宋" w:eastAsia="仿宋" w:hAnsi="仿宋" w:cs="仿宋" w:hint="eastAsia"/>
          <w:sz w:val="32"/>
          <w:szCs w:val="32"/>
        </w:rPr>
        <w:t>鉴证</w:t>
      </w:r>
      <w:proofErr w:type="gramEnd"/>
      <w:r>
        <w:rPr>
          <w:rFonts w:ascii="仿宋" w:eastAsia="仿宋" w:hAnsi="仿宋" w:cs="仿宋" w:hint="eastAsia"/>
          <w:sz w:val="32"/>
          <w:szCs w:val="32"/>
        </w:rPr>
        <w:t>性、代理性、信息性等服务的法人或其他组织。</w:t>
      </w:r>
    </w:p>
    <w:p w14:paraId="532C517B" w14:textId="77777777" w:rsidR="00DE0D58" w:rsidRDefault="00000000">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支持的产品和服务目录由获得长春数据交易中心数据交易标的登记凭证并在长春</w:t>
      </w:r>
      <w:proofErr w:type="gramStart"/>
      <w:r>
        <w:rPr>
          <w:rFonts w:ascii="仿宋" w:eastAsia="仿宋" w:hAnsi="仿宋" w:cs="仿宋" w:hint="eastAsia"/>
          <w:sz w:val="32"/>
          <w:szCs w:val="32"/>
        </w:rPr>
        <w:t>数智云</w:t>
      </w:r>
      <w:proofErr w:type="gramEnd"/>
      <w:r>
        <w:rPr>
          <w:rFonts w:ascii="仿宋" w:eastAsia="仿宋" w:hAnsi="仿宋" w:cs="仿宋" w:hint="eastAsia"/>
          <w:sz w:val="32"/>
          <w:szCs w:val="32"/>
        </w:rPr>
        <w:t>平台上架的产品和服务构成，包括但不限于数据服务、</w:t>
      </w:r>
      <w:proofErr w:type="gramStart"/>
      <w:r>
        <w:rPr>
          <w:rFonts w:ascii="仿宋" w:eastAsia="仿宋" w:hAnsi="仿宋" w:cs="仿宋" w:hint="eastAsia"/>
          <w:sz w:val="32"/>
          <w:szCs w:val="32"/>
        </w:rPr>
        <w:t>算力资源</w:t>
      </w:r>
      <w:proofErr w:type="gramEnd"/>
      <w:r>
        <w:rPr>
          <w:rFonts w:ascii="仿宋" w:eastAsia="仿宋" w:hAnsi="仿宋" w:cs="仿宋" w:hint="eastAsia"/>
          <w:sz w:val="32"/>
          <w:szCs w:val="32"/>
        </w:rPr>
        <w:t>、工具算法、网络服务、安全服务等数据</w:t>
      </w:r>
      <w:proofErr w:type="gramStart"/>
      <w:r>
        <w:rPr>
          <w:rFonts w:ascii="仿宋" w:eastAsia="仿宋" w:hAnsi="仿宋" w:cs="仿宋" w:hint="eastAsia"/>
          <w:sz w:val="32"/>
          <w:szCs w:val="32"/>
        </w:rPr>
        <w:t>商服务</w:t>
      </w:r>
      <w:proofErr w:type="gramEnd"/>
      <w:r>
        <w:rPr>
          <w:rFonts w:ascii="仿宋" w:eastAsia="仿宋" w:hAnsi="仿宋" w:cs="仿宋" w:hint="eastAsia"/>
          <w:sz w:val="32"/>
          <w:szCs w:val="32"/>
        </w:rPr>
        <w:t>以及数据集成、数据经济、合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认证、安全审计、数据公证、数据保险、数据托管、资产评估、争议仲裁、风险评估、人才培训等第三</w:t>
      </w:r>
      <w:proofErr w:type="gramStart"/>
      <w:r>
        <w:rPr>
          <w:rFonts w:ascii="仿宋" w:eastAsia="仿宋" w:hAnsi="仿宋" w:cs="仿宋" w:hint="eastAsia"/>
          <w:sz w:val="32"/>
          <w:szCs w:val="32"/>
        </w:rPr>
        <w:t>方专业</w:t>
      </w:r>
      <w:proofErr w:type="gramEnd"/>
      <w:r>
        <w:rPr>
          <w:rFonts w:ascii="仿宋" w:eastAsia="仿宋" w:hAnsi="仿宋" w:cs="仿宋" w:hint="eastAsia"/>
          <w:sz w:val="32"/>
          <w:szCs w:val="32"/>
        </w:rPr>
        <w:t>服务。原则上目录之外的产品及服务不纳入数智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 xml:space="preserve">支持范围。　　</w:t>
      </w:r>
    </w:p>
    <w:p w14:paraId="663EC70E" w14:textId="77777777" w:rsidR="00DE0D58" w:rsidRDefault="00DE0D58">
      <w:pPr>
        <w:spacing w:line="576" w:lineRule="exact"/>
        <w:rPr>
          <w:rFonts w:ascii="仿宋" w:eastAsia="仿宋" w:hAnsi="仿宋" w:cs="仿宋"/>
          <w:sz w:val="32"/>
          <w:szCs w:val="32"/>
        </w:rPr>
      </w:pPr>
    </w:p>
    <w:p w14:paraId="11674918" w14:textId="77777777" w:rsidR="00DE0D58" w:rsidRDefault="00000000">
      <w:pPr>
        <w:numPr>
          <w:ilvl w:val="255"/>
          <w:numId w:val="0"/>
        </w:numPr>
        <w:spacing w:line="576" w:lineRule="exact"/>
        <w:jc w:val="center"/>
        <w:rPr>
          <w:rFonts w:ascii="黑体" w:eastAsia="黑体" w:hAnsi="黑体" w:cs="黑体"/>
          <w:sz w:val="32"/>
          <w:szCs w:val="32"/>
        </w:rPr>
      </w:pPr>
      <w:r>
        <w:rPr>
          <w:rFonts w:ascii="黑体" w:eastAsia="黑体" w:hAnsi="黑体" w:cs="黑体" w:hint="eastAsia"/>
          <w:sz w:val="32"/>
          <w:szCs w:val="32"/>
        </w:rPr>
        <w:t>第三章 申领、使用与兑付</w:t>
      </w:r>
    </w:p>
    <w:p w14:paraId="426BCB80" w14:textId="77777777" w:rsidR="00DE0D58" w:rsidRDefault="00DE0D58">
      <w:pPr>
        <w:spacing w:line="576" w:lineRule="exact"/>
        <w:rPr>
          <w:rFonts w:ascii="仿宋" w:eastAsia="仿宋" w:hAnsi="仿宋" w:cs="仿宋"/>
          <w:sz w:val="32"/>
          <w:szCs w:val="32"/>
        </w:rPr>
      </w:pPr>
    </w:p>
    <w:p w14:paraId="3C6AC6AA" w14:textId="77777777" w:rsidR="00DE0D58" w:rsidRDefault="00000000">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第七条</w:t>
      </w:r>
      <w:r>
        <w:rPr>
          <w:rFonts w:ascii="仿宋" w:eastAsia="仿宋" w:hAnsi="仿宋" w:cs="仿宋" w:hint="eastAsia"/>
          <w:sz w:val="32"/>
          <w:szCs w:val="32"/>
        </w:rPr>
        <w:t xml:space="preserve"> 每年发放固定额度数智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，先用先得，发完即止。企业每年通过长春</w:t>
      </w:r>
      <w:proofErr w:type="gramStart"/>
      <w:r>
        <w:rPr>
          <w:rFonts w:ascii="仿宋" w:eastAsia="仿宋" w:hAnsi="仿宋" w:cs="仿宋" w:hint="eastAsia"/>
          <w:sz w:val="32"/>
          <w:szCs w:val="32"/>
        </w:rPr>
        <w:t>数智云平台申领数智券</w:t>
      </w:r>
      <w:proofErr w:type="gramEnd"/>
      <w:r>
        <w:rPr>
          <w:rFonts w:ascii="仿宋" w:eastAsia="仿宋" w:hAnsi="仿宋" w:cs="仿宋" w:hint="eastAsia"/>
          <w:sz w:val="32"/>
          <w:szCs w:val="32"/>
        </w:rPr>
        <w:t>，经审核通过后获得年度数智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总额度，每户企业每年度使用额度不超过10万元。</w:t>
      </w:r>
    </w:p>
    <w:p w14:paraId="67544770" w14:textId="77777777" w:rsidR="00DE0D58" w:rsidRDefault="00000000">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第八条</w:t>
      </w:r>
      <w:r>
        <w:rPr>
          <w:rFonts w:ascii="仿宋" w:eastAsia="仿宋" w:hAnsi="仿宋" w:cs="仿宋" w:hint="eastAsia"/>
          <w:sz w:val="32"/>
          <w:szCs w:val="32"/>
        </w:rPr>
        <w:t xml:space="preserve"> 企业在长春</w:t>
      </w:r>
      <w:proofErr w:type="gramStart"/>
      <w:r>
        <w:rPr>
          <w:rFonts w:ascii="仿宋" w:eastAsia="仿宋" w:hAnsi="仿宋" w:cs="仿宋" w:hint="eastAsia"/>
          <w:sz w:val="32"/>
          <w:szCs w:val="32"/>
        </w:rPr>
        <w:t>数智云</w:t>
      </w:r>
      <w:proofErr w:type="gramEnd"/>
      <w:r>
        <w:rPr>
          <w:rFonts w:ascii="仿宋" w:eastAsia="仿宋" w:hAnsi="仿宋" w:cs="仿宋" w:hint="eastAsia"/>
          <w:sz w:val="32"/>
          <w:szCs w:val="32"/>
        </w:rPr>
        <w:t>平台选择服务机构提供的产品或服务，在履行相关交易程序时，企业可使用数智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 xml:space="preserve">进行支付，按照产品和服务类别设定相应兑付比例。　　</w:t>
      </w:r>
    </w:p>
    <w:p w14:paraId="2745922B" w14:textId="77777777" w:rsidR="00DE0D58" w:rsidRDefault="00000000">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第九条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采取实名制，具有唯一的电子编码，不得赠与、买卖和转让，不重复使用。数智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的有效期为1年，逾期未使用自动作废。</w:t>
      </w:r>
    </w:p>
    <w:p w14:paraId="3305467A" w14:textId="77777777" w:rsidR="00DE0D58" w:rsidRDefault="00000000">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第十条</w:t>
      </w:r>
      <w:r>
        <w:rPr>
          <w:rFonts w:ascii="仿宋" w:eastAsia="仿宋" w:hAnsi="仿宋" w:cs="仿宋" w:hint="eastAsia"/>
          <w:sz w:val="32"/>
          <w:szCs w:val="32"/>
        </w:rPr>
        <w:t xml:space="preserve"> 服务完成后，服务机构在长春</w:t>
      </w:r>
      <w:proofErr w:type="gramStart"/>
      <w:r>
        <w:rPr>
          <w:rFonts w:ascii="仿宋" w:eastAsia="仿宋" w:hAnsi="仿宋" w:cs="仿宋" w:hint="eastAsia"/>
          <w:sz w:val="32"/>
          <w:szCs w:val="32"/>
        </w:rPr>
        <w:t>数智云</w:t>
      </w:r>
      <w:proofErr w:type="gramEnd"/>
      <w:r>
        <w:rPr>
          <w:rFonts w:ascii="仿宋" w:eastAsia="仿宋" w:hAnsi="仿宋" w:cs="仿宋" w:hint="eastAsia"/>
          <w:sz w:val="32"/>
          <w:szCs w:val="32"/>
        </w:rPr>
        <w:t>平台上提交合同、发票、到款凭证、服务结果等有关服务完成情况的材料，申请兑付。</w:t>
      </w:r>
    </w:p>
    <w:p w14:paraId="6C6D7B67" w14:textId="77777777" w:rsidR="00DE0D58" w:rsidRDefault="00000000">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第十一条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自领券之日起12个月内需提交兑付申请，逾期不申请自动作废。由于特殊原因不能提出兑付申请的，须提前1个月提交书面延期申请，延期最长不超过6个月。</w:t>
      </w:r>
    </w:p>
    <w:p w14:paraId="3F240A64" w14:textId="77777777" w:rsidR="00DE0D58" w:rsidRDefault="00000000">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第十二条</w:t>
      </w:r>
      <w:r>
        <w:rPr>
          <w:rFonts w:ascii="仿宋" w:eastAsia="仿宋" w:hAnsi="仿宋" w:cs="仿宋" w:hint="eastAsia"/>
          <w:sz w:val="32"/>
          <w:szCs w:val="32"/>
        </w:rPr>
        <w:t xml:space="preserve"> 市政数局常年受理兑付申请，按期组织专家集中评审，对服务效果及兑付材料的完整性、合理性和财务规范性进行审核,根据专家意见提出拟兑付清单，审核通过后公示5个工作日，结果无异议集中拨付兑付资金，原则上每季度拨付一次资金。</w:t>
      </w:r>
    </w:p>
    <w:p w14:paraId="64AF6E6D" w14:textId="77777777" w:rsidR="00DE0D58" w:rsidRDefault="00DE0D58">
      <w:pPr>
        <w:spacing w:line="576" w:lineRule="exact"/>
        <w:jc w:val="right"/>
        <w:rPr>
          <w:rFonts w:ascii="仿宋" w:eastAsia="仿宋" w:hAnsi="仿宋" w:cs="仿宋"/>
          <w:sz w:val="32"/>
          <w:szCs w:val="32"/>
        </w:rPr>
      </w:pPr>
    </w:p>
    <w:p w14:paraId="392C2C1B" w14:textId="77777777" w:rsidR="00DE0D58" w:rsidRDefault="00000000">
      <w:pPr>
        <w:numPr>
          <w:ilvl w:val="255"/>
          <w:numId w:val="0"/>
        </w:numPr>
        <w:spacing w:line="576" w:lineRule="exact"/>
        <w:jc w:val="center"/>
        <w:rPr>
          <w:rFonts w:ascii="黑体" w:eastAsia="黑体" w:hAnsi="黑体" w:cs="黑体"/>
          <w:sz w:val="32"/>
          <w:szCs w:val="32"/>
        </w:rPr>
      </w:pPr>
      <w:r>
        <w:rPr>
          <w:rFonts w:ascii="黑体" w:eastAsia="黑体" w:hAnsi="黑体" w:cs="黑体" w:hint="eastAsia"/>
          <w:sz w:val="32"/>
          <w:szCs w:val="32"/>
        </w:rPr>
        <w:lastRenderedPageBreak/>
        <w:t>第四章 评价与监督</w:t>
      </w:r>
    </w:p>
    <w:p w14:paraId="6EA4DFD9" w14:textId="77777777" w:rsidR="00DE0D58" w:rsidRDefault="00DE0D58">
      <w:pPr>
        <w:spacing w:line="576" w:lineRule="exact"/>
        <w:rPr>
          <w:rFonts w:ascii="仿宋" w:eastAsia="仿宋" w:hAnsi="仿宋" w:cs="仿宋"/>
          <w:sz w:val="32"/>
          <w:szCs w:val="32"/>
        </w:rPr>
      </w:pPr>
    </w:p>
    <w:p w14:paraId="462C7215" w14:textId="77777777"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第十三条</w:t>
      </w:r>
      <w:r>
        <w:rPr>
          <w:rFonts w:ascii="仿宋" w:eastAsia="仿宋" w:hAnsi="仿宋" w:cs="仿宋" w:hint="eastAsia"/>
          <w:sz w:val="32"/>
          <w:szCs w:val="32"/>
        </w:rPr>
        <w:t xml:space="preserve"> 市政数局将按照全面实施预算绩效管理要求，认真做好事前绩效评估、绩效目标编制、绩效运行监控、绩效自评和部门绩效评价工作。必要时财政部门可聘请第三方机构对数智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资金进行财政绩效评价，评价结果作为改进资金管理和以后年度预算安排的重要依据。</w:t>
      </w:r>
    </w:p>
    <w:p w14:paraId="322158FC" w14:textId="77777777"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第十四条</w:t>
      </w:r>
      <w:r>
        <w:rPr>
          <w:rFonts w:ascii="仿宋" w:eastAsia="仿宋" w:hAnsi="仿宋" w:cs="仿宋" w:hint="eastAsia"/>
          <w:sz w:val="32"/>
          <w:szCs w:val="32"/>
        </w:rPr>
        <w:t xml:space="preserve"> 企业和服务机构是数字化转型的责任主体，对数智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的申领、使用和兑付的真实性和合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负责。凡存在弄虚作假、关联交易、服务转包、故意规避阻挠有关部门监督检查等行为的，不予兑付或追回已兑付资金，取消支持对象或服务机构资格，并将相关单位及个人纳入本市失信记录；构成违纪的，由有关部门对责任单位或责任人处以纪律处分；涉嫌犯罪的，依法移送司法机关处理。</w:t>
      </w:r>
    </w:p>
    <w:p w14:paraId="445F8EB8" w14:textId="77777777"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第十五条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资金的安排、拨付、使用和管理，依法接受审计机关的审计和监察机关的监察，并主动接受市人大和社会的监督。</w:t>
      </w:r>
    </w:p>
    <w:p w14:paraId="20F2F426" w14:textId="77777777"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第十六条</w:t>
      </w:r>
      <w:r>
        <w:rPr>
          <w:rFonts w:ascii="仿宋" w:eastAsia="仿宋" w:hAnsi="仿宋" w:cs="仿宋" w:hint="eastAsia"/>
          <w:sz w:val="32"/>
          <w:szCs w:val="32"/>
        </w:rPr>
        <w:t xml:space="preserve"> 数智</w:t>
      </w:r>
      <w:proofErr w:type="gramStart"/>
      <w:r>
        <w:rPr>
          <w:rFonts w:ascii="仿宋" w:eastAsia="仿宋" w:hAnsi="仿宋" w:cs="仿宋" w:hint="eastAsia"/>
          <w:sz w:val="32"/>
          <w:szCs w:val="32"/>
        </w:rPr>
        <w:t>券</w:t>
      </w:r>
      <w:proofErr w:type="gramEnd"/>
      <w:r>
        <w:rPr>
          <w:rFonts w:ascii="仿宋" w:eastAsia="仿宋" w:hAnsi="仿宋" w:cs="仿宋" w:hint="eastAsia"/>
          <w:sz w:val="32"/>
          <w:szCs w:val="32"/>
        </w:rPr>
        <w:t>工作所涉及相关部门（单位）及个人对企业和服务机构提交的注册资料、交易活动等相关信息进行严格保密。</w:t>
      </w:r>
    </w:p>
    <w:p w14:paraId="238D1E56" w14:textId="77777777" w:rsidR="00DE0D58" w:rsidRDefault="00DE0D58">
      <w:pPr>
        <w:spacing w:line="576" w:lineRule="exact"/>
        <w:rPr>
          <w:rFonts w:ascii="仿宋" w:eastAsia="仿宋" w:hAnsi="仿宋" w:cs="仿宋"/>
          <w:sz w:val="32"/>
          <w:szCs w:val="32"/>
        </w:rPr>
      </w:pPr>
    </w:p>
    <w:p w14:paraId="77D19C7C" w14:textId="77777777" w:rsidR="00DE0D58" w:rsidRDefault="00000000">
      <w:pPr>
        <w:numPr>
          <w:ilvl w:val="255"/>
          <w:numId w:val="0"/>
        </w:numPr>
        <w:spacing w:line="576" w:lineRule="exact"/>
        <w:jc w:val="center"/>
        <w:rPr>
          <w:rFonts w:ascii="黑体" w:eastAsia="黑体" w:hAnsi="黑体" w:cs="黑体"/>
          <w:sz w:val="32"/>
          <w:szCs w:val="32"/>
        </w:rPr>
      </w:pPr>
      <w:r>
        <w:rPr>
          <w:rFonts w:ascii="黑体" w:eastAsia="黑体" w:hAnsi="黑体" w:cs="黑体" w:hint="eastAsia"/>
          <w:sz w:val="32"/>
          <w:szCs w:val="32"/>
        </w:rPr>
        <w:t>第五章 附则</w:t>
      </w:r>
    </w:p>
    <w:p w14:paraId="3F6D39AF" w14:textId="77777777" w:rsidR="00DE0D58" w:rsidRDefault="00DE0D58">
      <w:pPr>
        <w:numPr>
          <w:ilvl w:val="255"/>
          <w:numId w:val="0"/>
        </w:numPr>
        <w:spacing w:line="576" w:lineRule="exact"/>
        <w:rPr>
          <w:rFonts w:ascii="仿宋" w:eastAsia="仿宋" w:hAnsi="仿宋" w:cs="仿宋"/>
          <w:sz w:val="32"/>
          <w:szCs w:val="32"/>
        </w:rPr>
      </w:pPr>
    </w:p>
    <w:p w14:paraId="5C4AB322" w14:textId="234B13CC"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第十七条</w:t>
      </w:r>
      <w:r>
        <w:rPr>
          <w:rFonts w:ascii="仿宋" w:eastAsia="仿宋" w:hAnsi="仿宋" w:cs="仿宋" w:hint="eastAsia"/>
          <w:sz w:val="32"/>
          <w:szCs w:val="32"/>
        </w:rPr>
        <w:t xml:space="preserve"> 本市各县（市）区、开发区可参照</w:t>
      </w:r>
      <w:proofErr w:type="gramStart"/>
      <w:r>
        <w:rPr>
          <w:rFonts w:ascii="仿宋" w:eastAsia="仿宋" w:hAnsi="仿宋" w:cs="仿宋" w:hint="eastAsia"/>
          <w:sz w:val="32"/>
          <w:szCs w:val="32"/>
        </w:rPr>
        <w:t>本</w:t>
      </w:r>
      <w:r w:rsidR="008A6795">
        <w:rPr>
          <w:rFonts w:ascii="仿宋" w:eastAsia="仿宋" w:hAnsi="仿宋" w:cs="仿宋" w:hint="eastAsia"/>
          <w:sz w:val="32"/>
          <w:szCs w:val="32"/>
        </w:rPr>
        <w:t>服务</w:t>
      </w:r>
      <w:proofErr w:type="gramEnd"/>
      <w:r w:rsidR="008A6795">
        <w:rPr>
          <w:rFonts w:ascii="仿宋" w:eastAsia="仿宋" w:hAnsi="仿宋" w:cs="仿宋" w:hint="eastAsia"/>
          <w:sz w:val="32"/>
          <w:szCs w:val="32"/>
        </w:rPr>
        <w:t>指</w:t>
      </w:r>
      <w:r w:rsidR="008A6795">
        <w:rPr>
          <w:rFonts w:ascii="仿宋" w:eastAsia="仿宋" w:hAnsi="仿宋" w:cs="仿宋" w:hint="eastAsia"/>
          <w:sz w:val="32"/>
          <w:szCs w:val="32"/>
        </w:rPr>
        <w:lastRenderedPageBreak/>
        <w:t>南</w:t>
      </w:r>
      <w:r>
        <w:rPr>
          <w:rFonts w:ascii="仿宋" w:eastAsia="仿宋" w:hAnsi="仿宋" w:cs="仿宋" w:hint="eastAsia"/>
          <w:sz w:val="32"/>
          <w:szCs w:val="32"/>
        </w:rPr>
        <w:t>结合自身实际制定县区级数智</w:t>
      </w:r>
      <w:proofErr w:type="gramStart"/>
      <w:r>
        <w:rPr>
          <w:rFonts w:ascii="仿宋" w:eastAsia="仿宋" w:hAnsi="仿宋" w:cs="仿宋" w:hint="eastAsia"/>
          <w:sz w:val="32"/>
          <w:szCs w:val="32"/>
        </w:rPr>
        <w:t>券</w:t>
      </w:r>
      <w:proofErr w:type="gramEnd"/>
      <w:r w:rsidR="00C05963">
        <w:rPr>
          <w:rFonts w:ascii="仿宋" w:eastAsia="仿宋" w:hAnsi="仿宋" w:cs="仿宋" w:hint="eastAsia"/>
          <w:sz w:val="32"/>
          <w:szCs w:val="32"/>
        </w:rPr>
        <w:t>服务指南</w:t>
      </w:r>
      <w:r>
        <w:rPr>
          <w:rFonts w:ascii="仿宋" w:eastAsia="仿宋" w:hAnsi="仿宋" w:cs="仿宋" w:hint="eastAsia"/>
          <w:sz w:val="32"/>
          <w:szCs w:val="32"/>
        </w:rPr>
        <w:t>。</w:t>
      </w:r>
    </w:p>
    <w:p w14:paraId="38C700E9" w14:textId="35E72A1B"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第十八条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本</w:t>
      </w:r>
      <w:r w:rsidR="008A6795">
        <w:rPr>
          <w:rFonts w:ascii="仿宋" w:eastAsia="仿宋" w:hAnsi="仿宋" w:cs="仿宋" w:hint="eastAsia"/>
          <w:sz w:val="32"/>
          <w:szCs w:val="32"/>
        </w:rPr>
        <w:t>服务</w:t>
      </w:r>
      <w:proofErr w:type="gramEnd"/>
      <w:r w:rsidR="008A6795">
        <w:rPr>
          <w:rFonts w:ascii="仿宋" w:eastAsia="仿宋" w:hAnsi="仿宋" w:cs="仿宋" w:hint="eastAsia"/>
          <w:sz w:val="32"/>
          <w:szCs w:val="32"/>
        </w:rPr>
        <w:t>指南</w:t>
      </w:r>
      <w:r>
        <w:rPr>
          <w:rFonts w:ascii="仿宋" w:eastAsia="仿宋" w:hAnsi="仿宋" w:cs="仿宋" w:hint="eastAsia"/>
          <w:sz w:val="32"/>
          <w:szCs w:val="32"/>
        </w:rPr>
        <w:t>自发布之日起施行。</w:t>
      </w:r>
    </w:p>
    <w:p w14:paraId="457AB127" w14:textId="427B977D" w:rsidR="00DE0D58" w:rsidRDefault="00000000">
      <w:pPr>
        <w:spacing w:line="576" w:lineRule="exact"/>
        <w:ind w:firstLine="645"/>
        <w:rPr>
          <w:rFonts w:ascii="仿宋" w:eastAsia="仿宋" w:hAnsi="仿宋" w:cs="仿宋"/>
          <w:sz w:val="32"/>
          <w:szCs w:val="32"/>
        </w:rPr>
      </w:pPr>
      <w:r>
        <w:rPr>
          <w:rFonts w:ascii="黑体" w:eastAsia="黑体" w:hAnsi="黑体" w:cs="黑体" w:hint="eastAsia"/>
          <w:sz w:val="32"/>
          <w:szCs w:val="32"/>
        </w:rPr>
        <w:t>第十九条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本</w:t>
      </w:r>
      <w:r w:rsidR="008A6795">
        <w:rPr>
          <w:rFonts w:ascii="仿宋" w:eastAsia="仿宋" w:hAnsi="仿宋" w:cs="仿宋" w:hint="eastAsia"/>
          <w:sz w:val="32"/>
          <w:szCs w:val="32"/>
        </w:rPr>
        <w:t>服务</w:t>
      </w:r>
      <w:proofErr w:type="gramEnd"/>
      <w:r w:rsidR="008A6795">
        <w:rPr>
          <w:rFonts w:ascii="仿宋" w:eastAsia="仿宋" w:hAnsi="仿宋" w:cs="仿宋" w:hint="eastAsia"/>
          <w:sz w:val="32"/>
          <w:szCs w:val="32"/>
        </w:rPr>
        <w:t>指南</w:t>
      </w:r>
      <w:r>
        <w:rPr>
          <w:rFonts w:ascii="仿宋" w:eastAsia="仿宋" w:hAnsi="仿宋" w:cs="仿宋" w:hint="eastAsia"/>
          <w:sz w:val="32"/>
          <w:szCs w:val="32"/>
        </w:rPr>
        <w:t>由长春市政数局负责解释。</w:t>
      </w:r>
    </w:p>
    <w:sectPr w:rsidR="00DE0D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2D66" w14:textId="77777777" w:rsidR="00D81B16" w:rsidRDefault="00D81B16" w:rsidP="007A090C">
      <w:r>
        <w:separator/>
      </w:r>
    </w:p>
  </w:endnote>
  <w:endnote w:type="continuationSeparator" w:id="0">
    <w:p w14:paraId="4545FA37" w14:textId="77777777" w:rsidR="00D81B16" w:rsidRDefault="00D81B16" w:rsidP="007A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43499281-ADA3-4B2F-A27B-9DA47FD13D5C}"/>
  </w:font>
  <w:font w:name="黑体">
    <w:altName w:val="SimHei"/>
    <w:panose1 w:val="02010609060101010101"/>
    <w:charset w:val="86"/>
    <w:family w:val="modern"/>
    <w:pitch w:val="fixed"/>
    <w:sig w:usb0="800002BF" w:usb1="38CF7CFA" w:usb2="00000016" w:usb3="00000000" w:csb0="00040001" w:csb1="00000000"/>
    <w:embedRegular r:id="rId2" w:subsetted="1" w:fontKey="{D42419C8-EFD7-4F45-9DC5-08E082085D9A}"/>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ED4E" w14:textId="77777777" w:rsidR="00D81B16" w:rsidRDefault="00D81B16" w:rsidP="007A090C">
      <w:r>
        <w:separator/>
      </w:r>
    </w:p>
  </w:footnote>
  <w:footnote w:type="continuationSeparator" w:id="0">
    <w:p w14:paraId="20A88AE7" w14:textId="77777777" w:rsidR="00D81B16" w:rsidRDefault="00D81B16" w:rsidP="007A0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zYWQ0NWQxYzFiMjNlM2YwN2NiMmM1YTczNzU4MzkifQ=="/>
  </w:docVars>
  <w:rsids>
    <w:rsidRoot w:val="009930BE"/>
    <w:rsid w:val="00040B79"/>
    <w:rsid w:val="00100602"/>
    <w:rsid w:val="00335332"/>
    <w:rsid w:val="007A090C"/>
    <w:rsid w:val="008A6795"/>
    <w:rsid w:val="008B0118"/>
    <w:rsid w:val="008E7417"/>
    <w:rsid w:val="009930BE"/>
    <w:rsid w:val="0099794C"/>
    <w:rsid w:val="00A74AFB"/>
    <w:rsid w:val="00B663F5"/>
    <w:rsid w:val="00C05963"/>
    <w:rsid w:val="00D81B16"/>
    <w:rsid w:val="00DE0D58"/>
    <w:rsid w:val="00E25F8B"/>
    <w:rsid w:val="010A4FE3"/>
    <w:rsid w:val="05D62E8D"/>
    <w:rsid w:val="074A10E3"/>
    <w:rsid w:val="079A50CF"/>
    <w:rsid w:val="098942E8"/>
    <w:rsid w:val="09D73678"/>
    <w:rsid w:val="09DE49A2"/>
    <w:rsid w:val="0A15691E"/>
    <w:rsid w:val="0A2D52B9"/>
    <w:rsid w:val="0A8B7110"/>
    <w:rsid w:val="0C3739D7"/>
    <w:rsid w:val="0CB13F67"/>
    <w:rsid w:val="0D120D56"/>
    <w:rsid w:val="0E674D3D"/>
    <w:rsid w:val="13D46D49"/>
    <w:rsid w:val="14F94976"/>
    <w:rsid w:val="150202F6"/>
    <w:rsid w:val="15874511"/>
    <w:rsid w:val="161D0664"/>
    <w:rsid w:val="167258BD"/>
    <w:rsid w:val="16CC665B"/>
    <w:rsid w:val="173D7410"/>
    <w:rsid w:val="17E36ABF"/>
    <w:rsid w:val="1A8F22FA"/>
    <w:rsid w:val="1DBA2C3C"/>
    <w:rsid w:val="1DF339C4"/>
    <w:rsid w:val="1E9971A4"/>
    <w:rsid w:val="1FAA7D01"/>
    <w:rsid w:val="24B45DF0"/>
    <w:rsid w:val="265B68A0"/>
    <w:rsid w:val="266B541C"/>
    <w:rsid w:val="276520DB"/>
    <w:rsid w:val="28DC37C3"/>
    <w:rsid w:val="305A7A1B"/>
    <w:rsid w:val="309830D8"/>
    <w:rsid w:val="31D43E75"/>
    <w:rsid w:val="349F69BC"/>
    <w:rsid w:val="3C3A4DF5"/>
    <w:rsid w:val="3FC734CA"/>
    <w:rsid w:val="406D31D1"/>
    <w:rsid w:val="42BC1241"/>
    <w:rsid w:val="43531F61"/>
    <w:rsid w:val="43B257A8"/>
    <w:rsid w:val="48E90915"/>
    <w:rsid w:val="4B951653"/>
    <w:rsid w:val="4B971F0C"/>
    <w:rsid w:val="4CFF4044"/>
    <w:rsid w:val="4D3E0938"/>
    <w:rsid w:val="4DF32235"/>
    <w:rsid w:val="4E3D6A2C"/>
    <w:rsid w:val="50F061F5"/>
    <w:rsid w:val="51090797"/>
    <w:rsid w:val="51A76A58"/>
    <w:rsid w:val="564E7DEA"/>
    <w:rsid w:val="573963A5"/>
    <w:rsid w:val="58F72852"/>
    <w:rsid w:val="596B1F4F"/>
    <w:rsid w:val="5CC11316"/>
    <w:rsid w:val="5FFA462A"/>
    <w:rsid w:val="615371E5"/>
    <w:rsid w:val="62885CDB"/>
    <w:rsid w:val="644249DB"/>
    <w:rsid w:val="647D7174"/>
    <w:rsid w:val="64A25223"/>
    <w:rsid w:val="685A68BE"/>
    <w:rsid w:val="69297AE0"/>
    <w:rsid w:val="6C8614CF"/>
    <w:rsid w:val="6D005037"/>
    <w:rsid w:val="70497201"/>
    <w:rsid w:val="70EB4813"/>
    <w:rsid w:val="732F263F"/>
    <w:rsid w:val="744759B7"/>
    <w:rsid w:val="76C27D0D"/>
    <w:rsid w:val="79266043"/>
    <w:rsid w:val="792A5904"/>
    <w:rsid w:val="79A74F98"/>
    <w:rsid w:val="79AE6011"/>
    <w:rsid w:val="7A8E473B"/>
    <w:rsid w:val="7AD93877"/>
    <w:rsid w:val="7C46561B"/>
    <w:rsid w:val="7DE12051"/>
    <w:rsid w:val="7FDD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93B69"/>
  <w15:docId w15:val="{7CF3BC72-984A-463D-A0A9-DE61278B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basedOn w:val="a0"/>
    <w:qFormat/>
    <w:rPr>
      <w:b/>
    </w:rPr>
  </w:style>
  <w:style w:type="character" w:styleId="a9">
    <w:name w:val="Hyperlink"/>
    <w:basedOn w:val="a0"/>
    <w:rPr>
      <w:color w:val="0000FF"/>
      <w:u w:val="single"/>
    </w:rPr>
  </w:style>
  <w:style w:type="character" w:customStyle="1" w:styleId="a6">
    <w:name w:val="页眉 字符"/>
    <w:basedOn w:val="a0"/>
    <w:link w:val="a5"/>
    <w:rPr>
      <w:rFonts w:ascii="Calibri" w:hAnsi="Calibri"/>
      <w:kern w:val="2"/>
      <w:sz w:val="18"/>
      <w:szCs w:val="18"/>
    </w:rPr>
  </w:style>
  <w:style w:type="character" w:customStyle="1" w:styleId="a4">
    <w:name w:val="页脚 字符"/>
    <w:basedOn w:val="a0"/>
    <w:link w:val="a3"/>
    <w:rPr>
      <w:rFonts w:ascii="Calibri" w:hAnsi="Calibri"/>
      <w:kern w:val="2"/>
      <w:sz w:val="18"/>
      <w:szCs w:val="18"/>
    </w:rPr>
  </w:style>
  <w:style w:type="paragraph" w:customStyle="1" w:styleId="1">
    <w:name w:val="修订1"/>
    <w:hidden/>
    <w:uiPriority w:val="99"/>
    <w:unhideWhenUsed/>
    <w:rPr>
      <w:rFonts w:ascii="Calibri" w:hAnsi="Calibri"/>
      <w:kern w:val="2"/>
      <w:sz w:val="21"/>
      <w:szCs w:val="24"/>
    </w:rPr>
  </w:style>
  <w:style w:type="paragraph" w:styleId="aa">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李钰实</cp:lastModifiedBy>
  <cp:revision>14</cp:revision>
  <cp:lastPrinted>2023-09-04T02:54:00Z</cp:lastPrinted>
  <dcterms:created xsi:type="dcterms:W3CDTF">2022-12-30T03:26:00Z</dcterms:created>
  <dcterms:modified xsi:type="dcterms:W3CDTF">2024-04-01T07:42:00Z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07FFF14594BD448C88038A3CCEBFC5C1</vt:lpwstr>
  </property>
</Properties>
</file>