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i w:val="0"/>
          <w:caps w:val="0"/>
          <w:color w:val="333333"/>
          <w:spacing w:val="0"/>
          <w:sz w:val="44"/>
          <w:szCs w:val="44"/>
          <w:lang w:eastAsia="zh-CN"/>
        </w:rPr>
      </w:pPr>
      <w:bookmarkStart w:id="0" w:name="_GoBack"/>
      <w:bookmarkEnd w:id="0"/>
      <w:r>
        <w:rPr>
          <w:rFonts w:hint="eastAsia" w:ascii="方正小标宋_GBK" w:hAnsi="方正小标宋_GBK" w:eastAsia="方正小标宋_GBK" w:cs="方正小标宋_GBK"/>
          <w:b w:val="0"/>
          <w:bCs/>
          <w:i w:val="0"/>
          <w:caps w:val="0"/>
          <w:color w:val="333333"/>
          <w:spacing w:val="0"/>
          <w:sz w:val="44"/>
          <w:szCs w:val="44"/>
          <w:shd w:val="clear" w:color="auto" w:fill="FFFFFF"/>
        </w:rPr>
        <w:t>关于</w:t>
      </w:r>
      <w:r>
        <w:rPr>
          <w:rFonts w:hint="default" w:ascii="方正小标宋_GBK" w:hAnsi="方正小标宋_GBK" w:eastAsia="方正小标宋_GBK" w:cs="方正小标宋_GBK"/>
          <w:b w:val="0"/>
          <w:bCs/>
          <w:i w:val="0"/>
          <w:caps w:val="0"/>
          <w:color w:val="333333"/>
          <w:spacing w:val="0"/>
          <w:sz w:val="44"/>
          <w:szCs w:val="44"/>
          <w:shd w:val="clear" w:color="auto" w:fill="FFFFFF"/>
        </w:rPr>
        <w:t>《长春市</w:t>
      </w:r>
      <w:r>
        <w:rPr>
          <w:rFonts w:hint="eastAsia" w:ascii="方正小标宋_GBK" w:hAnsi="方正小标宋_GBK" w:eastAsia="方正小标宋_GBK" w:cs="方正小标宋_GBK"/>
          <w:b w:val="0"/>
          <w:bCs/>
          <w:i w:val="0"/>
          <w:caps w:val="0"/>
          <w:color w:val="333333"/>
          <w:spacing w:val="0"/>
          <w:sz w:val="44"/>
          <w:szCs w:val="44"/>
          <w:shd w:val="clear" w:color="auto" w:fill="FFFFFF"/>
          <w:lang w:eastAsia="zh-CN"/>
        </w:rPr>
        <w:t>企业研发投入后补助实施办法</w:t>
      </w:r>
      <w:r>
        <w:rPr>
          <w:rFonts w:hint="default" w:ascii="方正小标宋_GBK" w:hAnsi="方正小标宋_GBK" w:eastAsia="方正小标宋_GBK" w:cs="方正小标宋_GBK"/>
          <w:b w:val="0"/>
          <w:bCs/>
          <w:i w:val="0"/>
          <w:caps w:val="0"/>
          <w:color w:val="333333"/>
          <w:spacing w:val="0"/>
          <w:sz w:val="44"/>
          <w:szCs w:val="44"/>
          <w:shd w:val="clear" w:color="auto" w:fill="FFFFFF"/>
        </w:rPr>
        <w:t>》</w:t>
      </w:r>
      <w:r>
        <w:rPr>
          <w:rFonts w:hint="eastAsia" w:ascii="方正小标宋_GBK" w:hAnsi="方正小标宋_GBK" w:eastAsia="方正小标宋_GBK" w:cs="方正小标宋_GBK"/>
          <w:b w:val="0"/>
          <w:bCs/>
          <w:i w:val="0"/>
          <w:caps w:val="0"/>
          <w:color w:val="333333"/>
          <w:spacing w:val="0"/>
          <w:sz w:val="44"/>
          <w:szCs w:val="44"/>
          <w:shd w:val="clear" w:color="auto" w:fill="FFFFFF"/>
          <w:lang w:eastAsia="zh-CN"/>
        </w:rPr>
        <w:t>的政策解读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黑体" w:hAnsi="黑体" w:eastAsia="黑体" w:cs="黑体"/>
          <w:i w:val="0"/>
          <w:caps w:val="0"/>
          <w:color w:val="333333"/>
          <w:spacing w:val="0"/>
          <w:kern w:val="0"/>
          <w:sz w:val="32"/>
          <w:szCs w:val="32"/>
          <w:shd w:val="clear" w:color="auto" w:fill="FFFFFF"/>
          <w:lang w:val="en-US" w:eastAsia="zh-CN" w:bidi="ar"/>
        </w:rPr>
      </w:pPr>
    </w:p>
    <w:p>
      <w:pPr>
        <w:ind w:firstLine="705"/>
        <w:rPr>
          <w:rFonts w:hint="eastAsia" w:ascii="黑体" w:hAnsi="黑体" w:eastAsia="黑体"/>
          <w:sz w:val="32"/>
          <w:szCs w:val="32"/>
        </w:rPr>
      </w:pPr>
      <w:r>
        <w:rPr>
          <w:rFonts w:hint="eastAsia" w:ascii="黑体" w:hAnsi="黑体" w:eastAsia="黑体"/>
          <w:sz w:val="32"/>
          <w:szCs w:val="32"/>
        </w:rPr>
        <w:t>一、制定的必要性、可行性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一是为深入贯彻</w:t>
      </w:r>
      <w:r>
        <w:rPr>
          <w:rFonts w:hint="default" w:ascii="仿宋_GB2312" w:hAnsi="仿宋_GB2312" w:eastAsia="仿宋_GB2312" w:cs="仿宋_GB2312"/>
          <w:b w:val="0"/>
          <w:bCs w:val="0"/>
          <w:color w:val="auto"/>
          <w:kern w:val="2"/>
          <w:sz w:val="32"/>
          <w:szCs w:val="32"/>
          <w:lang w:val="en-US" w:eastAsia="zh-CN" w:bidi="ar-SA"/>
        </w:rPr>
        <w:t>党的二十届三中全会精神</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全面落实</w:t>
      </w:r>
      <w:r>
        <w:rPr>
          <w:rFonts w:hint="eastAsia" w:ascii="仿宋_GB2312" w:hAnsi="仿宋_GB2312" w:eastAsia="仿宋_GB2312" w:cs="仿宋_GB2312"/>
          <w:b w:val="0"/>
          <w:bCs w:val="0"/>
          <w:color w:val="auto"/>
          <w:kern w:val="2"/>
          <w:sz w:val="32"/>
          <w:szCs w:val="32"/>
          <w:lang w:val="en-US" w:eastAsia="zh-CN" w:bidi="ar-SA"/>
        </w:rPr>
        <w:t>市</w:t>
      </w:r>
      <w:r>
        <w:rPr>
          <w:rFonts w:hint="default" w:ascii="仿宋_GB2312" w:hAnsi="仿宋_GB2312" w:eastAsia="仿宋_GB2312" w:cs="仿宋_GB2312"/>
          <w:b w:val="0"/>
          <w:bCs w:val="0"/>
          <w:color w:val="auto"/>
          <w:kern w:val="2"/>
          <w:sz w:val="32"/>
          <w:szCs w:val="32"/>
          <w:lang w:val="en-US" w:eastAsia="zh-CN" w:bidi="ar-SA"/>
        </w:rPr>
        <w:t>委</w:t>
      </w:r>
      <w:r>
        <w:rPr>
          <w:rFonts w:hint="eastAsia" w:ascii="仿宋_GB2312" w:hAnsi="仿宋_GB2312" w:eastAsia="仿宋_GB2312" w:cs="仿宋_GB2312"/>
          <w:b w:val="0"/>
          <w:bCs w:val="0"/>
          <w:color w:val="auto"/>
          <w:kern w:val="2"/>
          <w:sz w:val="32"/>
          <w:szCs w:val="32"/>
          <w:lang w:val="en-US" w:eastAsia="zh-CN" w:bidi="ar-SA"/>
        </w:rPr>
        <w:t>市</w:t>
      </w:r>
      <w:r>
        <w:rPr>
          <w:rFonts w:hint="default" w:ascii="仿宋_GB2312" w:hAnsi="仿宋_GB2312" w:eastAsia="仿宋_GB2312" w:cs="仿宋_GB2312"/>
          <w:b w:val="0"/>
          <w:bCs w:val="0"/>
          <w:color w:val="auto"/>
          <w:kern w:val="2"/>
          <w:sz w:val="32"/>
          <w:szCs w:val="32"/>
          <w:lang w:val="en-US" w:eastAsia="zh-CN" w:bidi="ar-SA"/>
        </w:rPr>
        <w:t>政府决策部署，</w:t>
      </w:r>
      <w:r>
        <w:rPr>
          <w:rFonts w:hint="eastAsia" w:ascii="仿宋_GB2312" w:hAnsi="仿宋_GB2312" w:eastAsia="仿宋_GB2312" w:cs="仿宋_GB2312"/>
          <w:b w:val="0"/>
          <w:bCs w:val="0"/>
          <w:color w:val="auto"/>
          <w:kern w:val="2"/>
          <w:sz w:val="32"/>
          <w:szCs w:val="32"/>
          <w:lang w:val="en-US" w:eastAsia="zh-CN" w:bidi="ar-SA"/>
        </w:rPr>
        <w:t>积极引导我市企业持续加大研发投入，促进科技创新实力快速提升，</w:t>
      </w:r>
      <w:r>
        <w:rPr>
          <w:rFonts w:hint="default" w:ascii="仿宋_GB2312" w:hAnsi="仿宋_GB2312" w:eastAsia="仿宋_GB2312" w:cs="仿宋_GB2312"/>
          <w:b w:val="0"/>
          <w:bCs w:val="0"/>
          <w:color w:val="auto"/>
          <w:kern w:val="2"/>
          <w:sz w:val="32"/>
          <w:szCs w:val="32"/>
          <w:lang w:val="en-US" w:eastAsia="zh-CN" w:bidi="ar-SA"/>
        </w:rPr>
        <w:t>加快形成新质生产力</w:t>
      </w:r>
      <w:r>
        <w:rPr>
          <w:rFonts w:hint="eastAsia" w:ascii="仿宋_GB2312" w:hAnsi="仿宋_GB2312" w:eastAsia="仿宋_GB2312" w:cs="仿宋_GB2312"/>
          <w:b w:val="0"/>
          <w:bCs w:val="0"/>
          <w:color w:val="auto"/>
          <w:kern w:val="2"/>
          <w:sz w:val="32"/>
          <w:szCs w:val="32"/>
          <w:lang w:val="en-US" w:eastAsia="zh-CN" w:bidi="ar-SA"/>
        </w:rPr>
        <w:t>，根据《长春市科技创新条例》和科技创新相关政策，有必要制定本办法。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是研发投入对企业创新有着举足轻重的作用，研发投入的增加不仅能够推动企业的科技创新，而且能够影响企业的可持续发展。为促进我市科技创新实力快速提升，推动科技型企业高质量发展，有必要对企业研发投入进行引导和扶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三是吉林省科技厅2025年出台了《</w:t>
      </w:r>
      <w:r>
        <w:rPr>
          <w:rFonts w:hint="default" w:ascii="仿宋_GB2312" w:hAnsi="仿宋_GB2312" w:eastAsia="仿宋_GB2312" w:cs="仿宋_GB2312"/>
          <w:b w:val="0"/>
          <w:bCs w:val="0"/>
          <w:color w:val="auto"/>
          <w:kern w:val="2"/>
          <w:sz w:val="32"/>
          <w:szCs w:val="32"/>
          <w:lang w:val="en-US" w:eastAsia="zh-CN" w:bidi="ar-SA"/>
        </w:rPr>
        <w:t>吉林省科技企业R&amp;D投入引导计划实施办法</w:t>
      </w:r>
      <w:r>
        <w:rPr>
          <w:rFonts w:hint="eastAsia" w:ascii="仿宋_GB2312" w:hAnsi="仿宋_GB2312" w:eastAsia="仿宋_GB2312" w:cs="仿宋_GB2312"/>
          <w:b w:val="0"/>
          <w:bCs w:val="0"/>
          <w:color w:val="auto"/>
          <w:kern w:val="2"/>
          <w:sz w:val="32"/>
          <w:szCs w:val="32"/>
          <w:lang w:val="en-US" w:eastAsia="zh-CN" w:bidi="ar-SA"/>
        </w:rPr>
        <w:t>》，其中的补助对象、补助办法和工作程序较2021年进行了调整并予以明确，我市有必要依据省里政策跟进制定本级政策。</w:t>
      </w:r>
    </w:p>
    <w:p>
      <w:pPr>
        <w:widowControl/>
        <w:ind w:right="329" w:firstLine="694"/>
        <w:jc w:val="left"/>
        <w:rPr>
          <w:rFonts w:hint="eastAsia" w:ascii="黑体" w:hAnsi="黑体" w:eastAsia="黑体" w:cs="黑体"/>
          <w:sz w:val="32"/>
          <w:szCs w:val="32"/>
        </w:rPr>
      </w:pPr>
      <w:r>
        <w:rPr>
          <w:rFonts w:hint="eastAsia" w:ascii="黑体" w:hAnsi="黑体" w:eastAsia="黑体" w:cs="黑体"/>
          <w:sz w:val="32"/>
          <w:szCs w:val="32"/>
        </w:rPr>
        <w:t>二、制定的依据</w:t>
      </w:r>
    </w:p>
    <w:p>
      <w:pPr>
        <w:ind w:firstLine="60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《吉林省科技企业R&amp;D投入引导计划实施办法》</w:t>
      </w:r>
      <w:r>
        <w:rPr>
          <w:rFonts w:hint="eastAsia" w:ascii="仿宋_GB2312" w:hAnsi="仿宋_GB2312" w:eastAsia="仿宋_GB2312" w:cs="仿宋_GB2312"/>
          <w:sz w:val="32"/>
          <w:szCs w:val="32"/>
          <w:lang w:val="en-US" w:eastAsia="zh-CN"/>
        </w:rPr>
        <w:t>。</w:t>
      </w:r>
    </w:p>
    <w:p>
      <w:pPr>
        <w:rPr>
          <w:rFonts w:hint="eastAsia"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三、主要内容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本办法共六章，11条，包括总则、补助对象、补助办法、工作程序、资金管理、附则。</w:t>
      </w:r>
    </w:p>
    <w:p>
      <w:pPr>
        <w:keepNext w:val="0"/>
        <w:keepLines w:val="0"/>
        <w:pageBreakBefore w:val="0"/>
        <w:tabs>
          <w:tab w:val="left" w:pos="448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第一章 总则。一是明确了制定办法的目的和依据；二是明确了研发投入后补助的概念和目标；三是明确了研发投入的概念和归集依据；四是指出了补助资金来源和补助对象确定方式。</w:t>
      </w:r>
    </w:p>
    <w:p>
      <w:pPr>
        <w:ind w:firstLine="705"/>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第二章 补助对象。一是明确了补助对象应为长春市域内企业及信用要求；二是明确了补助对象应为纳入统计部门研发费用统计范围的规模以上企业，且上一年度研发投入占主营业务收入不低于1%；三是明确了补助对象应在近两个年度所得税汇算清缴时，均已申报享受了研发费用加计扣除政策，且最近一年度相比较前一年度允许扣除的研发费用合计数额增量不低于20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第三章 补助办法。明确了以企业近两个年度允许扣除的研发费用合计数额增量为基数，按不超过其5%计算财政补助资金，并以万元为单位，按舍去原则向下取整，补助金额不超过100万元。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第四章 工作程序。一是收集市政府有关部门</w:t>
      </w:r>
      <w:r>
        <w:rPr>
          <w:rFonts w:hint="default" w:ascii="仿宋_GB2312" w:hAnsi="仿宋_GB2312" w:eastAsia="仿宋_GB2312" w:cs="仿宋_GB2312"/>
          <w:b w:val="0"/>
          <w:bCs w:val="0"/>
          <w:color w:val="auto"/>
          <w:kern w:val="2"/>
          <w:sz w:val="32"/>
          <w:szCs w:val="32"/>
          <w:lang w:val="en-US" w:eastAsia="zh-CN" w:bidi="ar-SA"/>
        </w:rPr>
        <w:t>企业</w:t>
      </w:r>
      <w:r>
        <w:rPr>
          <w:rFonts w:hint="eastAsia" w:ascii="仿宋_GB2312" w:hAnsi="仿宋_GB2312" w:eastAsia="仿宋_GB2312" w:cs="仿宋_GB2312"/>
          <w:b w:val="0"/>
          <w:bCs w:val="0"/>
          <w:color w:val="auto"/>
          <w:kern w:val="2"/>
          <w:sz w:val="32"/>
          <w:szCs w:val="32"/>
          <w:lang w:val="en-US" w:eastAsia="zh-CN" w:bidi="ar-SA"/>
        </w:rPr>
        <w:t>研发</w:t>
      </w:r>
      <w:r>
        <w:rPr>
          <w:rFonts w:hint="default" w:ascii="仿宋_GB2312" w:hAnsi="仿宋_GB2312" w:eastAsia="仿宋_GB2312" w:cs="仿宋_GB2312"/>
          <w:b w:val="0"/>
          <w:bCs w:val="0"/>
          <w:color w:val="auto"/>
          <w:kern w:val="2"/>
          <w:sz w:val="32"/>
          <w:szCs w:val="32"/>
          <w:lang w:val="en-US" w:eastAsia="zh-CN" w:bidi="ar-SA"/>
        </w:rPr>
        <w:t>投入数据、</w:t>
      </w:r>
      <w:r>
        <w:rPr>
          <w:rFonts w:hint="eastAsia" w:ascii="仿宋_GB2312" w:hAnsi="仿宋_GB2312" w:eastAsia="仿宋_GB2312" w:cs="仿宋_GB2312"/>
          <w:b w:val="0"/>
          <w:bCs w:val="0"/>
          <w:color w:val="auto"/>
          <w:kern w:val="2"/>
          <w:sz w:val="32"/>
          <w:szCs w:val="32"/>
          <w:lang w:val="en-US" w:eastAsia="zh-CN" w:bidi="ar-SA"/>
        </w:rPr>
        <w:t>入规入统情况；二是按照补助对象应具备条件进行形式审查；三是组织专家评审，核定补助金额，形成拟补助企业名单；四是面向社会公示（5个工作日），征询企业管理使用财政补助资金意愿及核查企业</w:t>
      </w:r>
      <w:r>
        <w:rPr>
          <w:rFonts w:hint="default" w:ascii="仿宋_GB2312" w:hAnsi="仿宋_GB2312" w:eastAsia="仿宋_GB2312" w:cs="仿宋_GB2312"/>
          <w:b w:val="0"/>
          <w:bCs w:val="0"/>
          <w:color w:val="auto"/>
          <w:kern w:val="2"/>
          <w:sz w:val="32"/>
          <w:szCs w:val="32"/>
          <w:lang w:val="en-US" w:eastAsia="zh-CN" w:bidi="ar-SA"/>
        </w:rPr>
        <w:t>信用惩戒信息</w:t>
      </w:r>
      <w:r>
        <w:rPr>
          <w:rFonts w:hint="eastAsia" w:ascii="仿宋_GB2312" w:hAnsi="仿宋_GB2312" w:eastAsia="仿宋_GB2312" w:cs="仿宋_GB2312"/>
          <w:b w:val="0"/>
          <w:bCs w:val="0"/>
          <w:color w:val="auto"/>
          <w:kern w:val="2"/>
          <w:sz w:val="32"/>
          <w:szCs w:val="32"/>
          <w:lang w:val="en-US" w:eastAsia="zh-CN" w:bidi="ar-SA"/>
        </w:rPr>
        <w:t>；五是下达立项文件，兑现补助资金。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第五章 资金管理。一是明确了企业获得补助资金后的使用要求。二是明确了承担单位、专家及工作人员等各类主体，如存在违规违纪违法行为和违背科研诚信要求的处理依据。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第六章 附则。一是本办法由市科技局负责解释。二是本办法有效期3年，自发布之日起施行。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i w:val="0"/>
          <w:caps w:val="0"/>
          <w:color w:val="6C6C6C"/>
          <w:spacing w:val="0"/>
          <w:sz w:val="32"/>
          <w:szCs w:val="32"/>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楷体">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C0E76"/>
    <w:rsid w:val="3EAB0813"/>
    <w:rsid w:val="3FF94EDB"/>
    <w:rsid w:val="4EACE146"/>
    <w:rsid w:val="579317E5"/>
    <w:rsid w:val="5BEE4298"/>
    <w:rsid w:val="5F5D9FB1"/>
    <w:rsid w:val="77D37666"/>
    <w:rsid w:val="7DB75131"/>
    <w:rsid w:val="ABFF654A"/>
    <w:rsid w:val="B6F9B912"/>
    <w:rsid w:val="CEDEF4AA"/>
    <w:rsid w:val="DD67256E"/>
    <w:rsid w:val="DF7388AA"/>
    <w:rsid w:val="DFF38D6C"/>
    <w:rsid w:val="E67CB1CF"/>
    <w:rsid w:val="EEFBA573"/>
    <w:rsid w:val="F53EBB5E"/>
    <w:rsid w:val="F6E7E424"/>
    <w:rsid w:val="F76F0C65"/>
    <w:rsid w:val="F7FFD316"/>
    <w:rsid w:val="FCBF055B"/>
    <w:rsid w:val="FD9F36BD"/>
    <w:rsid w:val="FEEB7020"/>
    <w:rsid w:val="FFF5B456"/>
    <w:rsid w:val="FFFB5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GM20251102</cp:lastModifiedBy>
  <dcterms:modified xsi:type="dcterms:W3CDTF">2025-11-12T06:21:45Z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C5CB49BF740B428095EB44D9B36D155D</vt:lpwstr>
  </property>
</Properties>
</file>