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34E6F">
      <w:pPr>
        <w:keepNext w:val="0"/>
        <w:keepLines w:val="0"/>
        <w:pageBreakBefore w:val="0"/>
        <w:widowControl w:val="0"/>
        <w:kinsoku/>
        <w:wordWrap/>
        <w:overflowPunct/>
        <w:topLinePunct w:val="0"/>
        <w:autoSpaceDE/>
        <w:autoSpaceDN/>
        <w:bidi w:val="0"/>
        <w:adjustRightInd w:val="0"/>
        <w:snapToGrid w:val="0"/>
        <w:spacing w:after="0" w:line="54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附件2：</w:t>
      </w:r>
    </w:p>
    <w:p w14:paraId="770A614C">
      <w:pPr>
        <w:keepNext w:val="0"/>
        <w:keepLines w:val="0"/>
        <w:pageBreakBefore w:val="0"/>
        <w:widowControl w:val="0"/>
        <w:kinsoku/>
        <w:wordWrap/>
        <w:overflowPunct/>
        <w:topLinePunct w:val="0"/>
        <w:autoSpaceDE/>
        <w:autoSpaceDN/>
        <w:bidi w:val="0"/>
        <w:adjustRightInd w:val="0"/>
        <w:snapToGrid w:val="0"/>
        <w:spacing w:after="0" w:line="540" w:lineRule="exact"/>
        <w:jc w:val="both"/>
        <w:textAlignment w:val="auto"/>
        <w:rPr>
          <w:rFonts w:hint="default" w:ascii="仿宋_GB2312" w:hAnsi="仿宋_GB2312" w:eastAsia="仿宋_GB2312" w:cs="仿宋_GB2312"/>
          <w:color w:val="auto"/>
          <w:sz w:val="32"/>
          <w:szCs w:val="32"/>
          <w:highlight w:val="none"/>
          <w:lang w:val="en-US" w:eastAsia="zh-CN"/>
        </w:rPr>
      </w:pPr>
    </w:p>
    <w:p w14:paraId="541EA361">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长春市医工转化平台协调工作机制</w:t>
      </w:r>
    </w:p>
    <w:p w14:paraId="5A32E016">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42EA7676">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为高质量推动我市医工转化平台建设，统筹协调各方资源，助力医药健康产业高质量发展，构建全链条医工融合创新体系，经研究，建立长春市医工转化平台协调工作机制。</w:t>
      </w:r>
    </w:p>
    <w:p w14:paraId="3AFF736A">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一、机制成</w:t>
      </w:r>
      <w:r>
        <w:rPr>
          <w:rFonts w:hint="eastAsia" w:ascii="黑体" w:hAnsi="黑体" w:eastAsia="黑体" w:cs="黑体"/>
          <w:color w:val="auto"/>
          <w:sz w:val="32"/>
          <w:szCs w:val="32"/>
          <w:highlight w:val="none"/>
          <w:lang w:val="en-US" w:eastAsia="zh-CN"/>
        </w:rPr>
        <w:t>员</w:t>
      </w:r>
    </w:p>
    <w:p w14:paraId="6F2FC025">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总召集人：江慧丰 市委常委、市政府副市长</w:t>
      </w:r>
    </w:p>
    <w:p w14:paraId="0ABD7257">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副总召集人：鲁  月 市政府副市长</w:t>
      </w:r>
    </w:p>
    <w:p w14:paraId="7D3B9DC4">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总协调人：于柏生 市科技局局长</w:t>
      </w:r>
    </w:p>
    <w:p w14:paraId="142FF0D6">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协调机制下设办公室，办公室设在市科技局，办公室主任由市科技局局长于柏生兼任。</w:t>
      </w:r>
    </w:p>
    <w:p w14:paraId="6CFD982A">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成员单位：</w:t>
      </w:r>
    </w:p>
    <w:p w14:paraId="0ABFD634">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（一）市直部门及开发区</w:t>
      </w:r>
    </w:p>
    <w:p w14:paraId="08E70FA5">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市委金</w:t>
      </w:r>
      <w:r>
        <w:rPr>
          <w:rFonts w:hint="eastAsia" w:ascii="仿宋_GB2312" w:hAnsi="仿宋_GB2312" w:eastAsia="仿宋_GB2312" w:cs="仿宋_GB2312"/>
          <w:strike w:val="0"/>
          <w:dstrike w:val="0"/>
          <w:color w:val="auto"/>
          <w:sz w:val="32"/>
          <w:szCs w:val="32"/>
          <w:highlight w:val="none"/>
          <w:lang w:val="en-US" w:eastAsia="zh-CN"/>
        </w:rPr>
        <w:t>融委员会办公室、市科学技术局、市工业和信息化局、市财政局、市人力资源和社会保障局、市卫生健</w:t>
      </w:r>
      <w:r>
        <w:rPr>
          <w:rFonts w:hint="eastAsia" w:ascii="仿宋_GB2312" w:hAnsi="仿宋_GB2312" w:eastAsia="仿宋_GB2312" w:cs="仿宋_GB2312"/>
          <w:color w:val="auto"/>
          <w:sz w:val="32"/>
          <w:szCs w:val="32"/>
          <w:highlight w:val="none"/>
          <w:lang w:val="en-US" w:eastAsia="zh-CN"/>
        </w:rPr>
        <w:t>康委员会、市市场监督管理局、市医疗保障局、永春医药城管委会</w:t>
      </w:r>
    </w:p>
    <w:p w14:paraId="6B55E1EE">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（二）高校院所</w:t>
      </w:r>
    </w:p>
    <w:p w14:paraId="7970977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吉林大学、东北师范大学、长春理工大学、吉林农业大学、长春中医药大学、长春工业大学、中科院长春光机所、中科院长春应化所、长春医学高等专科学校等</w:t>
      </w:r>
    </w:p>
    <w:p w14:paraId="6C0A14CE">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（三）医疗机构</w:t>
      </w:r>
    </w:p>
    <w:p w14:paraId="068BBEEA">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吉林大学第一医院、吉林大学第二医院、吉林大学中日联谊医院、吉林大学口腔医院、吉林省人民医院、吉林省一汽总医院、吉林省肿瘤医院、吉林省妇幼保健院、吉林省中医药科学院第一临床医院、长春中医药大学附属医院、长春中医药大学附属第三临床医院、长春市中心医院、浙江大学医学院附属妇产科医院吉林医院（长春市妇产医院）、长春市儿童医院、吉林省肝胆病医院、长春市第六医院、吉林心脏病医院、长春市中医院、吉林省电力医院、长春一诺眼科医院、吉林省前卫医院、吉林省结核病医院、首都医科大学附属北京安贞医院吉林医院、长春中医药大学附属第四临床医院（长春市人民医院）、长春市传染病医院、长春市口腔医院、长春市康宁医院、长春吉润净月医院、长春国文医院、吉林国金医院、长春易视顿眼科医院、长春骨伤医院、长春普瑞眼科医院、长春爱尔眼科医院等</w:t>
      </w:r>
    </w:p>
    <w:p w14:paraId="088C8A2C">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（四）重点企业</w:t>
      </w:r>
    </w:p>
    <w:p w14:paraId="0BE5FC99">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长春金赛药业有限责任公司、长春百克生物科技股份公司、长春生物制品研究所有限责任公司、长春圣博玛生物材料有限公司、迪瑞医疗科技股份有限公司、长春雷允上药业有限公司、修正药业集团长春高新制药有限公司、长春祈健生物制品有限公司、长春海悦药业股份有限公司、吉林省长源药业有限公司、吉林省北药中药制药集团有限公司、吉林亚泰制药股份有限公司、斐缦（长春）医药生物科技有限责任公司、长春博迅生物技术有限责任公司、吉林省中科生物工程股份有限公司、吉林省国大生物工程有限公司、长春西诺生物科技有限公司、吉林省登泰克牙科材料有限公司、长春万成生物电子工程有限公司、长春晨裕伽康生物科技有限公司、吉林省蓝浦浩业科技有限公司、吉林省科英激光股份有限公司、吉林省永利激光股份有限公司、长春赛诺迈德医学技术有限责任公司、长春博德生物技术有限责任公司、吉林弗朗医疗科技有限公司、长春市医用高分子有限公司、长春晨裕泰康医学检验有限公司、鲲蓝再生医学科技（吉林）有限公司、吉林省蒲川生物医药有限公司、蓝科兴医疗科技（长春）有限公司、长春润德投资集团有限公司等</w:t>
      </w:r>
    </w:p>
    <w:p w14:paraId="53F495BF">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（五）投融资机构</w:t>
      </w:r>
    </w:p>
    <w:p w14:paraId="72899539">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长兴基金、汇泽基金等</w:t>
      </w:r>
    </w:p>
    <w:p w14:paraId="00C46D75">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二、工作职责</w:t>
      </w:r>
    </w:p>
    <w:p w14:paraId="4FDA9A3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（一）金融赋能保障。</w:t>
      </w:r>
      <w:r>
        <w:rPr>
          <w:rFonts w:hint="eastAsia" w:ascii="仿宋_GB2312" w:hAnsi="仿宋_GB2312" w:eastAsia="仿宋_GB2312" w:cs="仿宋_GB2312"/>
          <w:color w:val="auto"/>
          <w:sz w:val="32"/>
          <w:szCs w:val="32"/>
          <w:highlight w:val="none"/>
          <w:lang w:val="en-US" w:eastAsia="zh-CN"/>
        </w:rPr>
        <w:t>统筹构建医工转化全链条投融资服务体系，引导金融机构推出知识产权质押贷、科技信用贷等特色金融产品，常态化组织投融资对接活动（市委金融办）；</w:t>
      </w:r>
    </w:p>
    <w:p w14:paraId="505AEBB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（二）科技创新驱动。</w:t>
      </w:r>
      <w:r>
        <w:rPr>
          <w:rFonts w:hint="eastAsia" w:ascii="仿宋_GB2312" w:hAnsi="仿宋_GB2312" w:eastAsia="仿宋_GB2312" w:cs="仿宋_GB2312"/>
          <w:color w:val="auto"/>
          <w:sz w:val="32"/>
          <w:szCs w:val="32"/>
          <w:highlight w:val="none"/>
          <w:lang w:val="en-US" w:eastAsia="zh-CN"/>
        </w:rPr>
        <w:t>布局建设概念验证中心及中试基地，将平台归集的医工转化项目纳入市级科技项目体系予以支持；设立医工转化平台专项经费，保障平台运营和项目推进；制定平台运营考核制度，根据项目转化业绩对运营主体实施激励奖惩（市科技局）；</w:t>
      </w:r>
    </w:p>
    <w:p w14:paraId="593EA031">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（三）产业集群培育。</w:t>
      </w:r>
      <w:r>
        <w:rPr>
          <w:rFonts w:hint="eastAsia" w:ascii="仿宋_GB2312" w:hAnsi="仿宋_GB2312" w:eastAsia="仿宋_GB2312" w:cs="仿宋_GB2312"/>
          <w:color w:val="auto"/>
          <w:sz w:val="32"/>
          <w:szCs w:val="32"/>
          <w:highlight w:val="none"/>
          <w:lang w:val="en-US" w:eastAsia="zh-CN"/>
        </w:rPr>
        <w:t>统筹医疗器械全产业链培育工作，支持企业建设样机试制车间及中试生产线，常态化组织产业链供需对接会，引导产业资源向永春生物医药城集聚（市工信局）；</w:t>
      </w:r>
    </w:p>
    <w:p w14:paraId="0DFB827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（四）财政资金保障。</w:t>
      </w:r>
      <w:r>
        <w:rPr>
          <w:rFonts w:hint="eastAsia" w:ascii="仿宋_GB2312" w:eastAsia="仿宋_GB2312" w:hAnsiTheme="minorEastAsia"/>
          <w:color w:val="auto"/>
          <w:sz w:val="32"/>
          <w:szCs w:val="32"/>
          <w:lang w:eastAsia="zh-CN"/>
        </w:rPr>
        <w:t>统筹安排医工转化专项经费</w:t>
      </w:r>
      <w:r>
        <w:rPr>
          <w:rFonts w:hint="eastAsia" w:ascii="仿宋_GB2312" w:hAnsi="仿宋_GB2312" w:eastAsia="仿宋_GB2312" w:cs="仿宋_GB2312"/>
          <w:color w:val="auto"/>
          <w:sz w:val="32"/>
          <w:szCs w:val="32"/>
          <w:highlight w:val="none"/>
          <w:lang w:val="en-US" w:eastAsia="zh-CN"/>
        </w:rPr>
        <w:t>，规范资金申报、评审、拨付及绩效管理全流程，配合各部门对接省级、国家级专项资金（市财政局）；</w:t>
      </w:r>
    </w:p>
    <w:p w14:paraId="60501D8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（五）人才引育支撑。</w:t>
      </w:r>
      <w:r>
        <w:rPr>
          <w:rFonts w:hint="eastAsia" w:ascii="仿宋_GB2312" w:hAnsi="仿宋_GB2312" w:eastAsia="仿宋_GB2312" w:cs="仿宋_GB2312"/>
          <w:color w:val="auto"/>
          <w:sz w:val="32"/>
          <w:szCs w:val="32"/>
          <w:highlight w:val="none"/>
          <w:lang w:val="en-US" w:eastAsia="zh-CN"/>
        </w:rPr>
        <w:t>强化医工交叉复合型人才引进及培育政策支持，优化职称评审机制，将医工创新成果纳入评优评先依据，定期组织专业人才专场招聘和技能培训，落实科研人员离岗创业等人事管理政策(市人社局、市卫健委)；</w:t>
      </w:r>
    </w:p>
    <w:p w14:paraId="02114A76">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（六）临床需求统筹。</w:t>
      </w:r>
      <w:r>
        <w:rPr>
          <w:rFonts w:hint="eastAsia" w:ascii="仿宋_GB2312" w:hAnsi="仿宋_GB2312" w:eastAsia="仿宋_GB2312" w:cs="仿宋_GB2312"/>
          <w:color w:val="auto"/>
          <w:sz w:val="32"/>
          <w:szCs w:val="32"/>
          <w:highlight w:val="none"/>
          <w:lang w:val="en-US" w:eastAsia="zh-CN"/>
        </w:rPr>
        <w:t>统筹全市各级医疗机构常态化征集临床诊疗痛点，建立动态更新的临床创新需求资源库，引导临床医师深度参与医工联合攻关，规范医疗机构样机院内试用及伦理审查流程，指导各医院建立院内成果转化管理制度（市卫健委）；</w:t>
      </w:r>
    </w:p>
    <w:p w14:paraId="089E8AC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（七）规范体系服务。</w:t>
      </w:r>
      <w:r>
        <w:rPr>
          <w:rFonts w:hint="eastAsia" w:ascii="仿宋_GB2312" w:hAnsi="仿宋_GB2312" w:eastAsia="仿宋_GB2312" w:cs="仿宋_GB2312"/>
          <w:color w:val="auto"/>
          <w:sz w:val="32"/>
          <w:szCs w:val="32"/>
          <w:highlight w:val="none"/>
          <w:lang w:val="en-US" w:eastAsia="zh-CN"/>
        </w:rPr>
        <w:t>积极协调省药监局专业力量，依托省级医疗器械基础设施、法规服务、审评核查、检验检测等资源，开展专业咨询、合规指导及法规培训工作。协助运营公司与省级药品监督管理部门的业务对接工作，保障全市医工转化医疗器械领域工作有序推进（市市场监督局）；</w:t>
      </w:r>
    </w:p>
    <w:p w14:paraId="7CC4555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（八）应用准入赋能。</w:t>
      </w:r>
      <w:r>
        <w:rPr>
          <w:rFonts w:hint="eastAsia" w:ascii="仿宋_GB2312" w:hAnsi="仿宋_GB2312" w:eastAsia="仿宋_GB2312" w:cs="仿宋_GB2312"/>
          <w:color w:val="auto"/>
          <w:sz w:val="32"/>
          <w:szCs w:val="32"/>
          <w:highlight w:val="none"/>
          <w:lang w:val="en-US" w:eastAsia="zh-CN"/>
        </w:rPr>
        <w:t>开展医保目录准入及价格谈判政策辅导，推动具备临床价值的创新产品纳入医保目录，结合真实世界医保综合价值评价为医疗服务价格项目制定及准入谈判提供支撑（市医保局）；</w:t>
      </w:r>
    </w:p>
    <w:p w14:paraId="5DFCEF78">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（九）精准招商引资。</w:t>
      </w:r>
      <w:r>
        <w:rPr>
          <w:rFonts w:hint="eastAsia" w:ascii="仿宋_GB2312" w:hAnsi="仿宋_GB2312" w:eastAsia="仿宋_GB2312" w:cs="仿宋_GB2312"/>
          <w:color w:val="auto"/>
          <w:sz w:val="32"/>
          <w:szCs w:val="32"/>
          <w:highlight w:val="none"/>
          <w:lang w:val="en-US" w:eastAsia="zh-CN"/>
        </w:rPr>
        <w:t>围绕医疗器械、医工融合赛道开展产业链精准招商，重点引进外地头部企业及第三方CRO服务机构落地长春</w:t>
      </w:r>
      <w:r>
        <w:rPr>
          <w:rFonts w:hint="eastAsia" w:ascii="仿宋_GB2312" w:hAnsi="仿宋_GB2312" w:eastAsia="仿宋_GB2312" w:cs="仿宋_GB2312"/>
          <w:strike w:val="0"/>
          <w:dstrike w:val="0"/>
          <w:color w:val="auto"/>
          <w:sz w:val="32"/>
          <w:szCs w:val="32"/>
          <w:highlight w:val="none"/>
          <w:lang w:val="en-US" w:eastAsia="zh-CN"/>
        </w:rPr>
        <w:t>永春医药城</w:t>
      </w:r>
      <w:r>
        <w:rPr>
          <w:rFonts w:hint="eastAsia" w:ascii="仿宋_GB2312" w:hAnsi="仿宋_GB2312" w:eastAsia="仿宋_GB2312" w:cs="仿宋_GB2312"/>
          <w:strike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常态化组织外出招商推介活动，为落地项目提供全流程代办服务（永春医药城管委会）；</w:t>
      </w:r>
    </w:p>
    <w:p w14:paraId="463A526C">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（十）临床需求落地。</w:t>
      </w:r>
      <w:r>
        <w:rPr>
          <w:rFonts w:hint="eastAsia" w:ascii="仿宋_GB2312" w:hAnsi="仿宋_GB2312" w:eastAsia="仿宋_GB2312" w:cs="仿宋_GB2312"/>
          <w:color w:val="auto"/>
          <w:sz w:val="32"/>
          <w:szCs w:val="32"/>
          <w:highlight w:val="none"/>
          <w:lang w:val="en-US" w:eastAsia="zh-CN"/>
        </w:rPr>
        <w:t>常态化摸排各科室诊疗短板、设备耗材痛点与临床真实使用需求，引导临床医师深度参与医工联合攻关，搭建标准化临床需求征集、研判、更新机制，开放院内试验场地、病例资源与临床验证场景，牵头做好攻关选题遴选推荐、产品临床试验及入院评估相关工作，以临床应用导向牵引技术研发迭代（域内三甲医院及市属医疗机构）；</w:t>
      </w:r>
    </w:p>
    <w:p w14:paraId="62AC176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（十一）科创技术攻关。</w:t>
      </w:r>
      <w:r>
        <w:rPr>
          <w:rFonts w:hint="eastAsia" w:ascii="仿宋_GB2312" w:hAnsi="仿宋_GB2312" w:eastAsia="仿宋_GB2312" w:cs="仿宋_GB2312"/>
          <w:color w:val="auto"/>
          <w:sz w:val="32"/>
          <w:szCs w:val="32"/>
          <w:highlight w:val="none"/>
          <w:lang w:val="en-US" w:eastAsia="zh-CN"/>
        </w:rPr>
        <w:t>深挖高校院所学科、实验室与科研平台资源禀赋，紧扣临床实际难题定向攻坚医用新材料、精密器械、智能诊疗设备等核心技术，承接平台揭榜攻关任务，输出专利成果、原创技术与样机方案，联合打造医工交叉育人体系，持续夯实产业源头创新根基（驻长重点高校院所）；</w:t>
      </w:r>
    </w:p>
    <w:p w14:paraId="0D8E746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（十二）产业转化落地。</w:t>
      </w:r>
      <w:r>
        <w:rPr>
          <w:rFonts w:hint="eastAsia" w:ascii="仿宋_GB2312" w:hAnsi="仿宋_GB2312" w:eastAsia="仿宋_GB2312" w:cs="仿宋_GB2312"/>
          <w:color w:val="auto"/>
          <w:sz w:val="32"/>
          <w:szCs w:val="32"/>
          <w:highlight w:val="none"/>
          <w:lang w:val="en-US" w:eastAsia="zh-CN"/>
        </w:rPr>
        <w:t>主攻科研成果工程化改造、中试放大、注册报批与市场化运营，高效承接高校院所创新技术并完成工艺优化、批量投产与品质管控，拓展全国销售渠道与医疗机构入院合作，孵化培育细分领域初创企业，不断壮大区域医疗器械产业集群，打通技术到商品的完整闭环（域内重点医药企业）。</w:t>
      </w:r>
    </w:p>
    <w:p w14:paraId="48245FB4">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三、机制规则</w:t>
      </w:r>
    </w:p>
    <w:p w14:paraId="408C89CC">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（一）沟通机制。</w:t>
      </w:r>
      <w:r>
        <w:rPr>
          <w:rFonts w:hint="eastAsia" w:ascii="仿宋_GB2312" w:hAnsi="仿宋_GB2312" w:eastAsia="仿宋_GB2312" w:cs="仿宋_GB2312"/>
          <w:color w:val="auto"/>
          <w:sz w:val="32"/>
          <w:szCs w:val="32"/>
          <w:highlight w:val="none"/>
          <w:lang w:val="en-US" w:eastAsia="zh-CN"/>
        </w:rPr>
        <w:t>协调机制办公室负责牵头统筹跨部门协同、项目管理、政策落地、任务分解、调度工作进度，</w:t>
      </w:r>
      <w:bookmarkStart w:id="0" w:name="_GoBack"/>
      <w:bookmarkEnd w:id="0"/>
      <w:r>
        <w:rPr>
          <w:rFonts w:hint="eastAsia" w:ascii="仿宋_GB2312" w:hAnsi="仿宋_GB2312" w:eastAsia="仿宋_GB2312" w:cs="仿宋_GB2312"/>
          <w:color w:val="auto"/>
          <w:sz w:val="32"/>
          <w:szCs w:val="32"/>
          <w:highlight w:val="none"/>
          <w:lang w:val="en-US" w:eastAsia="zh-CN"/>
        </w:rPr>
        <w:t>协调解决医工转化过程中涉及跨部门、跨领域的重大梗阻问题；</w:t>
      </w:r>
    </w:p>
    <w:p w14:paraId="4D57756F">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（二）运行机制。</w:t>
      </w:r>
      <w:r>
        <w:rPr>
          <w:rFonts w:hint="eastAsia" w:ascii="仿宋_GB2312" w:hAnsi="仿宋_GB2312" w:eastAsia="仿宋_GB2312" w:cs="仿宋_GB2312"/>
          <w:color w:val="auto"/>
          <w:sz w:val="32"/>
          <w:szCs w:val="32"/>
          <w:highlight w:val="none"/>
          <w:lang w:val="en-US" w:eastAsia="zh-CN"/>
        </w:rPr>
        <w:t>平台实行企业化运营模式，由办公室择优遴选具备投资运营能力和产业服务经验的企业作为运营主体，在办公室指导下承担平台日常运营管理。</w:t>
      </w:r>
    </w:p>
    <w:p w14:paraId="39295CF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（三）调度机制。</w:t>
      </w:r>
      <w:r>
        <w:rPr>
          <w:rFonts w:hint="eastAsia" w:ascii="仿宋_GB2312" w:hAnsi="仿宋_GB2312" w:eastAsia="仿宋_GB2312" w:cs="仿宋_GB2312"/>
          <w:color w:val="auto"/>
          <w:sz w:val="32"/>
          <w:szCs w:val="32"/>
          <w:highlight w:val="none"/>
          <w:lang w:val="en-US" w:eastAsia="zh-CN"/>
        </w:rPr>
        <w:t>原则上每年至少召开一次全体会议，研究制定医工转化发展规划，听取相关成员单位工作进展汇报，协调解决重点事项，总结工作进展，审议有关议题，部署下一阶段工作，专项办公室根据工作需要不定期召开专题协调会议。</w:t>
      </w:r>
    </w:p>
    <w:p w14:paraId="5C70F8E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 w:hAnsi="楷体" w:eastAsia="楷体" w:cs="楷体"/>
          <w:color w:val="auto"/>
          <w:sz w:val="32"/>
          <w:szCs w:val="32"/>
          <w:highlight w:val="none"/>
          <w:lang w:val="en-US" w:eastAsia="zh-CN"/>
        </w:rPr>
        <w:t>（四）保密机制。</w:t>
      </w:r>
      <w:r>
        <w:rPr>
          <w:rFonts w:hint="eastAsia" w:ascii="仿宋_GB2312" w:hAnsi="仿宋_GB2312" w:eastAsia="仿宋_GB2312" w:cs="仿宋_GB2312"/>
          <w:color w:val="auto"/>
          <w:sz w:val="32"/>
          <w:szCs w:val="32"/>
          <w:highlight w:val="none"/>
          <w:lang w:val="en-US" w:eastAsia="zh-CN"/>
        </w:rPr>
        <w:t>严格遵守数据安全、隐私保护、工作保密相关规定，规范数据使用、资源共享、科技成果管理流程，严防数据泄露、信息失密。</w:t>
      </w:r>
    </w:p>
    <w:p w14:paraId="6574D8A3">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四、其他事项</w:t>
      </w:r>
    </w:p>
    <w:p w14:paraId="076F0956">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各成员单位要高度重视长春市医工转化平台建设工作，将其作为赋能医药健康产业高质量发展的重要抓手，压实工作责任，主动履职尽责。机制成员人员因工作调动需要调整的，由接任其工作的同志担任，报协调机制办公室备案。</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书宋_GBK">
    <w:altName w:val="书宋-简"/>
    <w:panose1 w:val="02000000000000000000"/>
    <w:charset w:val="86"/>
    <w:family w:val="auto"/>
    <w:pitch w:val="default"/>
    <w:sig w:usb0="00000000" w:usb1="00000000" w:usb2="00000000" w:usb3="00000000" w:csb0="00040000" w:csb1="00000000"/>
  </w:font>
  <w:font w:name="Nimbus Roman No9 L">
    <w:altName w:val="鸿蒙黑体"/>
    <w:panose1 w:val="00000000000000000000"/>
    <w:charset w:val="00"/>
    <w:family w:val="auto"/>
    <w:pitch w:val="default"/>
    <w:sig w:usb0="00000000" w:usb1="00000000" w:usb2="00000000" w:usb3="00000000" w:csb0="00000000" w:csb1="00000000"/>
  </w:font>
  <w:font w:name="鸿蒙黑体">
    <w:panose1 w:val="00000500000000000000"/>
    <w:charset w:val="86"/>
    <w:family w:val="auto"/>
    <w:pitch w:val="default"/>
    <w:sig w:usb0="A00002BF" w:usb1="18EF7CFA" w:usb2="00000016" w:usb3="00000000" w:csb0="00040001" w:csb1="00000000"/>
  </w:font>
  <w:font w:name="Calibri Light">
    <w:altName w:val="FT Thymes"/>
    <w:panose1 w:val="00000000000000000000"/>
    <w:charset w:val="00"/>
    <w:family w:val="auto"/>
    <w:pitch w:val="default"/>
    <w:sig w:usb0="00000000" w:usb1="00000000" w:usb2="00000000" w:usb3="00000000" w:csb0="00000000" w:csb1="00000000"/>
  </w:font>
  <w:font w:name="DejaVu Sans">
    <w:altName w:val="Noto Sans Bengali UI Medium"/>
    <w:panose1 w:val="020B0603030804020204"/>
    <w:charset w:val="00"/>
    <w:family w:val="auto"/>
    <w:pitch w:val="default"/>
    <w:sig w:usb0="00000000" w:usb1="00000000" w:usb2="0A246029" w:usb3="0400200C" w:csb0="600001FF" w:csb1="DFFF0000"/>
  </w:font>
  <w:font w:name="Noto Sans Bengali UI Medium">
    <w:panose1 w:val="020B0602040504020204"/>
    <w:charset w:val="00"/>
    <w:family w:val="auto"/>
    <w:pitch w:val="default"/>
    <w:sig w:usb0="80018023" w:usb1="00002042" w:usb2="00000000" w:usb3="00000000" w:csb0="00000093" w:csb1="00000000"/>
  </w:font>
  <w:font w:name="Cambria">
    <w:altName w:val="鸿蒙黑体"/>
    <w:panose1 w:val="00000000000000000000"/>
    <w:charset w:val="00"/>
    <w:family w:val="auto"/>
    <w:pitch w:val="default"/>
    <w:sig w:usb0="00000000" w:usb1="00000000" w:usb2="00000000" w:usb3="00000000" w:csb0="00040001" w:csb1="00000000"/>
  </w:font>
  <w:font w:name="思源宋体 CN">
    <w:altName w:val="书宋-简"/>
    <w:panose1 w:val="02020400000000000000"/>
    <w:charset w:val="80"/>
    <w:family w:val="auto"/>
    <w:pitch w:val="default"/>
    <w:sig w:usb0="00000000" w:usb1="00000000" w:usb2="00000016" w:usb3="00000000" w:csb0="40020001" w:csb1="D1D60000"/>
  </w:font>
  <w:font w:name="仿宋_GB2312">
    <w:altName w:val="仿宋-简"/>
    <w:panose1 w:val="02010609030101010101"/>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方正小标宋简体">
    <w:altName w:val="方正中等线-简"/>
    <w:panose1 w:val="02000000000000000000"/>
    <w:charset w:val="86"/>
    <w:family w:val="auto"/>
    <w:pitch w:val="default"/>
    <w:sig w:usb0="00000000" w:usb1="00000000" w:usb2="00000012" w:usb3="00000000" w:csb0="00040001" w:csb1="00000000"/>
  </w:font>
  <w:font w:name="方正中等线-简">
    <w:panose1 w:val="02000500000000000000"/>
    <w:charset w:val="86"/>
    <w:family w:val="auto"/>
    <w:pitch w:val="default"/>
    <w:sig w:usb0="A00002BF" w:usb1="78CF7CFB" w:usb2="00000016" w:usb3="00000000" w:csb0="00040001" w:csb1="00000000"/>
  </w:font>
  <w:font w:name="黑体-简">
    <w:panose1 w:val="02010609060101010101"/>
    <w:charset w:val="86"/>
    <w:family w:val="auto"/>
    <w:pitch w:val="default"/>
    <w:sig w:usb0="A00002BF" w:usb1="3ACF7CFA" w:usb2="00000016" w:usb3="00000000" w:csb0="00040001" w:csb1="00000000"/>
  </w:font>
  <w:font w:name="楷体">
    <w:altName w:val="楷体-简"/>
    <w:panose1 w:val="02010609060101010101"/>
    <w:charset w:val="86"/>
    <w:family w:val="auto"/>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HarmonyOS Sans">
    <w:panose1 w:val="00000500000000000000"/>
    <w:charset w:val="00"/>
    <w:family w:val="auto"/>
    <w:pitch w:val="default"/>
    <w:sig w:usb0="A0000287" w:usb1="00000011" w:usb2="00000000" w:usb3="00000000" w:csb0="00000001" w:csb1="00000000"/>
  </w:font>
  <w:font w:name="FT AeroSans">
    <w:panose1 w:val="020B0504030202020204"/>
    <w:charset w:val="00"/>
    <w:family w:val="auto"/>
    <w:pitch w:val="default"/>
    <w:sig w:usb0="0000028F" w:usb1="00000000" w:usb2="00000000" w:usb3="00000000" w:csb0="0000011F" w:csb1="07030000"/>
  </w:font>
  <w:font w:name="FTToken">
    <w:panose1 w:val="05000000000000000000"/>
    <w:charset w:val="00"/>
    <w:family w:val="auto"/>
    <w:pitch w:val="default"/>
    <w:sig w:usb0="00000000" w:usb1="10000000" w:usb2="00000000" w:usb3="00000000" w:csb0="80000000" w:csb1="00000000"/>
  </w:font>
  <w:font w:name="仿宋_GB2312">
    <w:altName w:val="仿宋-简"/>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DBA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92F1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B92F1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5BAAB36"/>
    <w:rsid w:val="1B8E3737"/>
    <w:rsid w:val="1F7F51B3"/>
    <w:rsid w:val="2EFF761D"/>
    <w:rsid w:val="2FADCD20"/>
    <w:rsid w:val="3AFF96C0"/>
    <w:rsid w:val="3D6DFFED"/>
    <w:rsid w:val="4BEF16DB"/>
    <w:rsid w:val="4DEFEFEF"/>
    <w:rsid w:val="5F3F560A"/>
    <w:rsid w:val="77FB98BB"/>
    <w:rsid w:val="7E6B06EB"/>
    <w:rsid w:val="7F574139"/>
    <w:rsid w:val="7FBDDCFF"/>
    <w:rsid w:val="7FDE0D7F"/>
    <w:rsid w:val="8DFBAC27"/>
    <w:rsid w:val="ACF775A9"/>
    <w:rsid w:val="B59E301F"/>
    <w:rsid w:val="B6BF5664"/>
    <w:rsid w:val="B7E55A99"/>
    <w:rsid w:val="BBAE1CDE"/>
    <w:rsid w:val="BEEFD8C8"/>
    <w:rsid w:val="BFD2DC00"/>
    <w:rsid w:val="D7AFF3DC"/>
    <w:rsid w:val="DDEE3A64"/>
    <w:rsid w:val="DDFEC930"/>
    <w:rsid w:val="DFA75C32"/>
    <w:rsid w:val="DFCFE2AC"/>
    <w:rsid w:val="EEAB964B"/>
    <w:rsid w:val="EFFF65D1"/>
    <w:rsid w:val="F3BD5154"/>
    <w:rsid w:val="F57B3E61"/>
    <w:rsid w:val="F5BAAB36"/>
    <w:rsid w:val="F5F39385"/>
    <w:rsid w:val="F6FD7CF6"/>
    <w:rsid w:val="F7FF958E"/>
    <w:rsid w:val="F9BFA75C"/>
    <w:rsid w:val="F9E733A6"/>
    <w:rsid w:val="FB7F2C60"/>
    <w:rsid w:val="FDEA1BFD"/>
    <w:rsid w:val="FE1BD90F"/>
    <w:rsid w:val="FF67FA1D"/>
    <w:rsid w:val="FF9EE409"/>
    <w:rsid w:val="FFF74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2"/>
    <w:unhideWhenUsed/>
    <w:qFormat/>
    <w:uiPriority w:val="9"/>
    <w:pPr>
      <w:keepNext/>
      <w:keepLines/>
      <w:spacing w:before="160" w:after="80"/>
      <w:outlineLvl w:val="1"/>
    </w:pPr>
    <w:rPr>
      <w:rFonts w:asciiTheme="majorHAnsi" w:hAnsiTheme="majorHAnsi" w:eastAsiaTheme="majorEastAsia" w:cstheme="majorBidi"/>
      <w:b/>
      <w:bCs/>
      <w:color w:val="2E54A1" w:themeColor="accent1" w:themeShade="BF"/>
      <w:sz w:val="32"/>
      <w:szCs w:val="32"/>
    </w:rPr>
  </w:style>
  <w:style w:type="paragraph" w:styleId="5">
    <w:name w:val="heading 3"/>
    <w:basedOn w:val="1"/>
    <w:next w:val="2"/>
    <w:semiHidden/>
    <w:unhideWhenUsed/>
    <w:qFormat/>
    <w:uiPriority w:val="9"/>
    <w:pPr>
      <w:keepNext/>
      <w:keepLines/>
      <w:spacing w:before="160" w:after="80"/>
      <w:outlineLvl w:val="2"/>
    </w:pPr>
    <w:rPr>
      <w:rFonts w:eastAsiaTheme="majorEastAsia" w:cstheme="majorBidi"/>
      <w:b/>
      <w:bCs/>
      <w:color w:val="2E54A1" w:themeColor="accent1" w:themeShade="BF"/>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80" w:after="180"/>
    </w:pPr>
  </w:style>
  <w:style w:type="paragraph" w:styleId="3">
    <w:name w:val="Title"/>
    <w:basedOn w:val="1"/>
    <w:next w:val="1"/>
    <w:qFormat/>
    <w:uiPriority w:val="10"/>
    <w:pPr>
      <w:spacing w:after="80"/>
      <w:contextualSpacing/>
      <w:jc w:val="center"/>
    </w:pPr>
    <w:rPr>
      <w:rFonts w:ascii="Cambria" w:hAnsi="Cambria" w:eastAsia="宋体" w:cs="Times New Roman"/>
      <w:b/>
      <w:bCs/>
      <w:sz w:val="56"/>
      <w:szCs w:val="56"/>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First Paragraph"/>
    <w:basedOn w:val="2"/>
    <w:next w:val="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2026-09-08T12:23:00Z</dcterms:created>
  <dc:creator>吴春龙</dc:creator>
  <cp:lastModifiedBy>文龙</cp:lastModifiedBy>
  <cp:lastPrinted>2026-09-19T09:17:00Z</cp:lastPrinted>
  <dcterms:modified xsi:type="dcterms:W3CDTF">2026-09-18T16:47:19Z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0C9E16DC5AC04E42585E976AB1997395_43</vt:lpwstr>
  </property>
</Properties>
</file>