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73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附件1：</w:t>
      </w:r>
    </w:p>
    <w:p w14:paraId="5AB49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0990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长春市医工转化平台建设实施方案</w:t>
      </w:r>
    </w:p>
    <w:p w14:paraId="3834C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0BD4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深入落实市委、市政府关于加快搭建医工转化平台的部署要求，整合全市医疗机构、高校院所及企业资源，破解医工创新供需脱节、成果落地难、产业支撑薄弱等问题，助力医药健康产业迈上千亿级台阶，结合长春实际，制定本实施方案。</w:t>
      </w:r>
    </w:p>
    <w:p w14:paraId="650EC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一、建设思路</w:t>
      </w:r>
    </w:p>
    <w:p w14:paraId="48DC6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围绕全市医药健康产业高质量发展目标，以永春医药城为核心承载平台，依托吉林大学附属医院等三甲医疗机构临床资源优势，推动在长高校院所科研力量与重点医药企业产业化能力深度融合，建设集临床需求归集、工程化攻关、成果转化、产业孵化于一体的长春市医工转化平台。采取“政府主导、部门协同、校企医联动、企业化运营”模式，以真实临床需求为牵引，以市场化运营为驱动，构建全链条医工融合创新体系，力争用2—3年时间建成东北区域医工融合示范标杆，为全市千亿级医药健康产业高质量发展提供有力支撑。</w:t>
      </w:r>
    </w:p>
    <w:p w14:paraId="4EF86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二、建设目标</w:t>
      </w:r>
    </w:p>
    <w:p w14:paraId="217BD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聚焦科技成果转化和医工交叉人才培养，不断完善政府主导、部门协同、校企医联动等运行机制；建设集应用研发、中试验证、临床评价、成果转化、创业孵化于一体的综合性医工转化创新平台。长春市医工转化平台阶段建设目标为：</w:t>
      </w:r>
    </w:p>
    <w:p w14:paraId="3839E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——到2027年，平台基本建成，运行机制和保障制度初步建立。引进和培育医工交叉创新团队不少于5个，转化孵化医工交叉领域科技型企业不少于3家，启动校企医联合攻关项目不少于10项，推动医疗器械、生物医药等领域科技成果转移转化不少于5项，促成技术合同成交额不低于3000万元。汇聚一批高层次医工交叉人才，初步构建覆盖概念验证、中试熟化、临床评价到产业化应用的医工转化全链条服务体系。</w:t>
      </w:r>
    </w:p>
    <w:p w14:paraId="2BF5A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——到2029年，高层次人才引育、关键核心技术攻关、成果转化应用、投融资对接等机制不断完善。累计引进和培育医工交叉创新团队不少于20个，累计转化孵化科技型企业不少于10家，累计开展联合攻关项目不少于30项，累计推动转移转化科技成果不少于20项，累计促成技术合同成交额不低于1.5亿元。在高端医疗器械、智慧医疗、医用材料等领域形成若干具有核心竞争力的创新产品，打造成为立足长春、辐射全省的医工转化高地，为长春市生物医药和生命健康产业高质量发展提供有力支撑。</w:t>
      </w:r>
    </w:p>
    <w:p w14:paraId="4055C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三、工作任务</w:t>
      </w:r>
    </w:p>
    <w:p w14:paraId="7F58D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（一）建立临床需求归集与项目筛选体系</w:t>
      </w:r>
    </w:p>
    <w:p w14:paraId="6C2078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依托平台建立统一的需求征集与归口管理机制，由医疗机构指定专人负责需求提报，平台集中受理并分类筛选。组建专业评审团队，对征集项目开展临床价值与技术可行性的双重评估。</w:t>
      </w:r>
    </w:p>
    <w:p w14:paraId="6F925E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（二）推进工程化攻关与成果熟化体系建设</w:t>
      </w:r>
    </w:p>
    <w:p w14:paraId="62FC67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联合在长高校院所、医疗机构等优势力量，开展高端医疗器械关键核心技术攻关。加快布局建设概念验证中心与中试基地，形成两级接力熟化机制。</w:t>
      </w:r>
    </w:p>
    <w:p w14:paraId="2DC46F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（三）完善成果转化与产业落地体系</w:t>
      </w:r>
    </w:p>
    <w:p w14:paraId="299F05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平台以知识产权许可为核心纽带，吸引社会资本参与，组建项目公司；转化收益按约定比例分配，确保医院享有主要收益权。面向创新药械项目提供全流程孵化服务，降低创业团队与中小企业的产业化门槛。</w:t>
      </w:r>
    </w:p>
    <w:p w14:paraId="05C655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（四）构建专业服务与合规支撑体系</w:t>
      </w:r>
    </w:p>
    <w:p w14:paraId="02830B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搭建医疗器械注册咨询、生物相容性检测、临床伦理审查、知识产权运营等专业服务平台，为项目提供全链条技术服务。强化“</w:t>
      </w:r>
      <w:bookmarkStart w:id="2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研审联动</w:t>
      </w:r>
      <w:bookmarkEnd w:id="2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”合规机制，以注册合规赋能转化进程，以研审联动护航合规路径，以证照审批提供全周期支撑，切实缩短医疗器械注册周期。</w:t>
      </w:r>
    </w:p>
    <w:p w14:paraId="1423FA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（五）强化金融与人才支撑体系</w:t>
      </w:r>
    </w:p>
    <w:p w14:paraId="233189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积极引导社会资本参与医工转化项目，探索构建“平台前期投入引导+产业基金接力+市场化融资”的梯次支撑机制，为不同阶段的转化项目提供适配的资金保障。推行“医学PI+工程PI”双PI负责制，着力培养兼具临床洞察与工程能力的复合型转化人才；引进医疗器械注册、工艺工程、临床应用等紧缺应用型人才。定期组织医工转化对接会、项目路演、产业论坛等活动，促进供需精准对接，营造开放共生的创新生态。</w:t>
      </w:r>
    </w:p>
    <w:p w14:paraId="30ECA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四、实施步骤</w:t>
      </w:r>
    </w:p>
    <w:p w14:paraId="0FF624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（一）启动阶段（2026年9月—2026年12月）</w:t>
      </w:r>
    </w:p>
    <w:p w14:paraId="03800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1.组建方案报审（9月中旬）。组建方案报市政府进行小范围研讨论证，广泛征求意见并修改完善，报市政府审定。</w:t>
      </w:r>
    </w:p>
    <w:p w14:paraId="7B5A0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2.明确运行机制（9月下旬）。正式印发《长春市医工转化平台工作机制》，明确组织架构、工作职责和运行机制。</w:t>
      </w:r>
    </w:p>
    <w:p w14:paraId="0DD8A0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3.确定运营主体（10月-12月）。完成医工平台运营主体遴选，搭建组织架构、配齐核心运营团队，研究制定内部管理制度及运营服务规范。</w:t>
      </w:r>
    </w:p>
    <w:p w14:paraId="5FAA9B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（二）推进阶段（2027年1月—2027年12月）</w:t>
      </w:r>
    </w:p>
    <w:p w14:paraId="55095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平台正式挂牌运行；初步构建医工转化全链条服务体系；发布首批联合攻关项目并完成立项；依托长兴基金、汇泽基金完成首笔医工转化项目投资。</w:t>
      </w:r>
    </w:p>
    <w:p w14:paraId="0D47A2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（三）深化阶段（2028年1月以后）</w:t>
      </w:r>
    </w:p>
    <w:p w14:paraId="50D90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累计引进和培育医工交叉创新团队不少于20个，转化孵化企业不少于10家，联合攻关项目不少于30项；完成全链条闭环创新体系构建，建成东北区域医工融合示范标杆。</w:t>
      </w:r>
    </w:p>
    <w:p w14:paraId="66D7A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五、保障措施</w:t>
      </w:r>
    </w:p>
    <w:p w14:paraId="3526B5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bookmarkStart w:id="0" w:name="一政策保障"/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（一）政策保障</w:t>
      </w:r>
    </w:p>
    <w:p w14:paraId="2FD4C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完善政策扶持体系，各相关职能部门应结合自身职责，研究制定支持医工转化平台建设的配套政策和具体举措，在科研攻关、成果转化、产业载体、人才培养、审批金融等方面加大支持力度，推动医工转化全链条畅通，持续优化政策体系，形成政策合力。</w:t>
      </w:r>
    </w:p>
    <w:bookmarkEnd w:id="0"/>
    <w:p w14:paraId="08B92C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bookmarkStart w:id="1" w:name="二资金保障"/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（二）资金保障</w:t>
      </w:r>
    </w:p>
    <w:p w14:paraId="634AA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color w:val="auto"/>
          <w:sz w:val="32"/>
          <w:szCs w:val="32"/>
          <w:lang w:eastAsia="zh-CN"/>
        </w:rPr>
        <w:t>统筹安排医工转化专项经费，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重点用于联合攻关项目资助、平台运维补贴。依托长兴基金、汇泽基金等市级现有产业投资基金，重点投向医工转化项目，引导社会资本跟投，医院、高校、企业按约定比例配套支持医工联合攻关项目。</w:t>
      </w:r>
      <w:bookmarkEnd w:id="1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mbria">
    <w:altName w:val="思源宋体 C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思源宋体 CN">
    <w:panose1 w:val="02020400000000000000"/>
    <w:charset w:val="80"/>
    <w:family w:val="auto"/>
    <w:pitch w:val="default"/>
    <w:sig w:usb0="A00002BF" w:usb1="6ADFFDFE" w:usb2="00000016" w:usb3="00000000" w:csb0="40020001" w:csb1="D1D6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14EF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13D148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13D148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BAAB36"/>
    <w:rsid w:val="21BB8DAA"/>
    <w:rsid w:val="2DAA32A2"/>
    <w:rsid w:val="2FADCD20"/>
    <w:rsid w:val="5F37B248"/>
    <w:rsid w:val="5FAEF317"/>
    <w:rsid w:val="6F5BA0A3"/>
    <w:rsid w:val="733CDA03"/>
    <w:rsid w:val="76ABAFFB"/>
    <w:rsid w:val="77FB02E8"/>
    <w:rsid w:val="77FB98BB"/>
    <w:rsid w:val="7E6B06EB"/>
    <w:rsid w:val="7EFDAA6E"/>
    <w:rsid w:val="7FBDDCFF"/>
    <w:rsid w:val="7FEE0A0E"/>
    <w:rsid w:val="8DFBAC27"/>
    <w:rsid w:val="ACF775A9"/>
    <w:rsid w:val="B59E301F"/>
    <w:rsid w:val="B5B305CC"/>
    <w:rsid w:val="D377016D"/>
    <w:rsid w:val="DDFEC930"/>
    <w:rsid w:val="DF1D7725"/>
    <w:rsid w:val="DFA75C32"/>
    <w:rsid w:val="DFCFE2AC"/>
    <w:rsid w:val="EEB10CB9"/>
    <w:rsid w:val="F3BD5154"/>
    <w:rsid w:val="F57B3E61"/>
    <w:rsid w:val="F5BAAB36"/>
    <w:rsid w:val="F6BE38C3"/>
    <w:rsid w:val="F6FD7CF6"/>
    <w:rsid w:val="F9E733A6"/>
    <w:rsid w:val="FF67FA1D"/>
    <w:rsid w:val="FF9EE409"/>
    <w:rsid w:val="FFAB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b/>
      <w:bCs/>
      <w:color w:val="2E54A1" w:themeColor="accent1" w:themeShade="BF"/>
      <w:sz w:val="32"/>
      <w:szCs w:val="32"/>
    </w:rPr>
  </w:style>
  <w:style w:type="paragraph" w:styleId="4">
    <w:name w:val="heading 3"/>
    <w:basedOn w:val="1"/>
    <w:next w:val="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b/>
      <w:bCs/>
      <w:color w:val="2E54A1" w:themeColor="accent1" w:themeShade="BF"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="Cambria" w:hAnsi="Cambria" w:eastAsia="宋体" w:cs="Times New Roman"/>
      <w:b/>
      <w:bCs/>
      <w:sz w:val="56"/>
      <w:szCs w:val="56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2026-09-08T12:23:00Z</dcterms:created>
  <dc:creator>吴春龙</dc:creator>
  <cp:lastModifiedBy>文龙</cp:lastModifiedBy>
  <cp:lastPrinted>2026-09-18T07:01:00Z</cp:lastPrinted>
  <dcterms:modified xsi:type="dcterms:W3CDTF">2026-09-18T11:14:48Z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0C9E16DC5AC04E42585E976AB1997395_43</vt:lpwstr>
  </property>
</Properties>
</file>