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lang w:eastAsia="zh-CN"/>
        </w:rPr>
      </w:pPr>
    </w:p>
    <w:p>
      <w:pPr>
        <w:keepNext w:val="0"/>
        <w:keepLines w:val="0"/>
        <w:pageBreakBefore w:val="0"/>
        <w:widowControl w:val="0"/>
        <w:kinsoku/>
        <w:wordWrap/>
        <w:overflowPunct/>
        <w:topLinePunct w:val="0"/>
        <w:bidi w:val="0"/>
        <w:snapToGrid/>
        <w:spacing w:line="240" w:lineRule="auto"/>
        <w:jc w:val="center"/>
        <w:textAlignment w:val="auto"/>
        <w:rPr>
          <w:rFonts w:hint="eastAsia" w:asciiTheme="majorEastAsia" w:hAnsiTheme="majorEastAsia" w:eastAsiaTheme="majorEastAsia" w:cstheme="majorEastAsia"/>
          <w:sz w:val="36"/>
          <w:szCs w:val="36"/>
          <w:lang w:eastAsia="zh-CN"/>
        </w:rPr>
      </w:pPr>
      <w:r>
        <w:rPr>
          <w:rFonts w:hint="eastAsia" w:asciiTheme="majorEastAsia" w:hAnsiTheme="majorEastAsia" w:eastAsiaTheme="majorEastAsia" w:cstheme="majorEastAsia"/>
          <w:sz w:val="36"/>
          <w:szCs w:val="36"/>
          <w:lang w:eastAsia="zh-CN"/>
        </w:rPr>
        <w:t>《长春市进一步加快科技创新发展的若干政策》</w:t>
      </w:r>
    </w:p>
    <w:p>
      <w:pPr>
        <w:keepNext w:val="0"/>
        <w:keepLines w:val="0"/>
        <w:pageBreakBefore w:val="0"/>
        <w:widowControl w:val="0"/>
        <w:kinsoku/>
        <w:wordWrap/>
        <w:overflowPunct/>
        <w:topLinePunct w:val="0"/>
        <w:bidi w:val="0"/>
        <w:snapToGrid/>
        <w:spacing w:line="240" w:lineRule="auto"/>
        <w:jc w:val="center"/>
        <w:textAlignment w:val="auto"/>
        <w:rPr>
          <w:rFonts w:hint="eastAsia" w:asciiTheme="majorEastAsia" w:hAnsiTheme="majorEastAsia" w:eastAsiaTheme="majorEastAsia" w:cstheme="majorEastAsia"/>
          <w:sz w:val="36"/>
          <w:szCs w:val="36"/>
          <w:lang w:eastAsia="zh-CN"/>
        </w:rPr>
      </w:pPr>
      <w:r>
        <w:rPr>
          <w:rFonts w:hint="eastAsia" w:asciiTheme="majorEastAsia" w:hAnsiTheme="majorEastAsia" w:eastAsiaTheme="majorEastAsia" w:cstheme="majorEastAsia"/>
          <w:sz w:val="36"/>
          <w:szCs w:val="36"/>
          <w:lang w:eastAsia="zh-CN"/>
        </w:rPr>
        <w:t>实施细则</w:t>
      </w:r>
    </w:p>
    <w:p>
      <w:pPr>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仿宋_GB2312" w:hAnsi="Calibri" w:eastAsia="仿宋_GB2312" w:cs="Times New Roman"/>
          <w:b w:val="0"/>
          <w:bCs w:val="0"/>
          <w:kern w:val="2"/>
          <w:sz w:val="32"/>
          <w:szCs w:val="32"/>
          <w:lang w:val="en-US" w:eastAsia="zh-CN" w:bidi="ar-SA"/>
        </w:rPr>
      </w:pPr>
    </w:p>
    <w:p>
      <w:pPr>
        <w:keepNext w:val="0"/>
        <w:keepLines w:val="0"/>
        <w:pageBreakBefore w:val="0"/>
        <w:widowControl w:val="0"/>
        <w:numPr>
          <w:ilvl w:val="0"/>
          <w:numId w:val="0"/>
        </w:numPr>
        <w:kinsoku/>
        <w:wordWrap/>
        <w:overflowPunct/>
        <w:topLinePunct w:val="0"/>
        <w:bidi w:val="0"/>
        <w:snapToGrid/>
        <w:spacing w:line="240" w:lineRule="auto"/>
        <w:ind w:firstLine="64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第一条</w:t>
      </w:r>
      <w:r>
        <w:rPr>
          <w:rFonts w:hint="eastAsia" w:ascii="仿宋_GB2312" w:hAnsi="Calibri" w:eastAsia="仿宋_GB2312" w:cs="Times New Roman"/>
          <w:b w:val="0"/>
          <w:bCs w:val="0"/>
          <w:kern w:val="2"/>
          <w:sz w:val="32"/>
          <w:szCs w:val="32"/>
          <w:lang w:val="en-US" w:eastAsia="zh-CN" w:bidi="ar-SA"/>
        </w:rPr>
        <w:t xml:space="preserve">  为落实《长春市进一步加快科技创新发展的若干政策》，制定本实施细则。</w:t>
      </w:r>
    </w:p>
    <w:p>
      <w:pPr>
        <w:keepNext w:val="0"/>
        <w:keepLines w:val="0"/>
        <w:pageBreakBefore w:val="0"/>
        <w:widowControl w:val="0"/>
        <w:numPr>
          <w:ilvl w:val="0"/>
          <w:numId w:val="0"/>
        </w:numPr>
        <w:kinsoku/>
        <w:wordWrap/>
        <w:overflowPunct/>
        <w:topLinePunct w:val="0"/>
        <w:bidi w:val="0"/>
        <w:snapToGrid/>
        <w:spacing w:line="240" w:lineRule="auto"/>
        <w:ind w:firstLine="640"/>
        <w:textAlignment w:val="auto"/>
        <w:rPr>
          <w:rFonts w:hint="default"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第二条</w:t>
      </w:r>
      <w:r>
        <w:rPr>
          <w:rFonts w:hint="eastAsia" w:ascii="仿宋_GB2312" w:hAnsi="Calibri" w:eastAsia="仿宋_GB2312" w:cs="Times New Roman"/>
          <w:b w:val="0"/>
          <w:bCs w:val="0"/>
          <w:kern w:val="2"/>
          <w:sz w:val="32"/>
          <w:szCs w:val="32"/>
          <w:lang w:val="en-US" w:eastAsia="zh-CN" w:bidi="ar-SA"/>
        </w:rPr>
        <w:t xml:space="preserve">  本实施细则项目和资金申请工作实行部门受理、专家评审、社会公示、适时兑现的原则。</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第三条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与省联合设立</w:t>
      </w:r>
      <w:r>
        <w:rPr>
          <w:rFonts w:hint="eastAsia" w:ascii="仿宋_GB2312" w:hAnsi="Calibri" w:eastAsia="仿宋_GB2312" w:cs="Times New Roman"/>
          <w:b w:val="0"/>
          <w:bCs w:val="0"/>
          <w:kern w:val="2"/>
          <w:sz w:val="32"/>
          <w:szCs w:val="32"/>
          <w:lang w:val="en-US" w:eastAsia="zh-CN" w:bidi="ar-SA"/>
        </w:rPr>
        <w:t>全国</w:t>
      </w:r>
      <w:r>
        <w:rPr>
          <w:rFonts w:hint="eastAsia" w:ascii="仿宋_GB2312" w:hAnsi="仿宋_GB2312" w:eastAsia="仿宋_GB2312" w:cs="仿宋_GB2312"/>
          <w:sz w:val="32"/>
          <w:szCs w:val="32"/>
        </w:rPr>
        <w:t>重点实验室（学科类）重大专项、能力建设专项，每年投入市级财政资金不少于1500万元，支持</w:t>
      </w:r>
      <w:r>
        <w:rPr>
          <w:rFonts w:hint="eastAsia" w:ascii="仿宋_GB2312" w:hAnsi="Calibri" w:eastAsia="仿宋_GB2312" w:cs="Times New Roman"/>
          <w:b w:val="0"/>
          <w:bCs w:val="0"/>
          <w:kern w:val="2"/>
          <w:sz w:val="32"/>
          <w:szCs w:val="32"/>
          <w:lang w:val="en-US" w:eastAsia="zh-CN" w:bidi="ar-SA"/>
        </w:rPr>
        <w:t>全国</w:t>
      </w:r>
      <w:r>
        <w:rPr>
          <w:rFonts w:hint="eastAsia" w:ascii="仿宋_GB2312" w:hAnsi="仿宋_GB2312" w:eastAsia="仿宋_GB2312" w:cs="仿宋_GB2312"/>
          <w:sz w:val="32"/>
          <w:szCs w:val="32"/>
        </w:rPr>
        <w:t>重点实验室实施重大科技项目、产出高水平科技成果。</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支持方式：重大专项项目采取前补助方式，每个项目支持金额最高50万元；能力建设专项项目采取后补助方式，每个项目支持金额50万元，一次性拨付。</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申报单位和条件：长春市域内全国重点实验室（学科类）的依托单位。</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w:t>
      </w:r>
      <w:r>
        <w:rPr>
          <w:rFonts w:hint="eastAsia" w:ascii="仿宋_GB2312" w:hAnsi="仿宋_GB2312" w:eastAsia="仿宋_GB2312" w:cs="仿宋_GB2312"/>
          <w:sz w:val="32"/>
          <w:szCs w:val="32"/>
        </w:rPr>
        <w:t>全国</w:t>
      </w:r>
      <w:r>
        <w:rPr>
          <w:rFonts w:hint="eastAsia" w:ascii="仿宋_GB2312" w:hAnsi="Calibri" w:eastAsia="仿宋_GB2312" w:cs="Times New Roman"/>
          <w:b w:val="0"/>
          <w:bCs w:val="0"/>
          <w:kern w:val="2"/>
          <w:sz w:val="32"/>
          <w:szCs w:val="32"/>
          <w:lang w:val="en-US" w:eastAsia="zh-CN" w:bidi="ar-SA"/>
        </w:rPr>
        <w:t>重点实验室（学科类）重大专项申报书；（2）</w:t>
      </w:r>
      <w:r>
        <w:rPr>
          <w:rFonts w:hint="eastAsia" w:ascii="仿宋_GB2312" w:hAnsi="仿宋_GB2312" w:eastAsia="仿宋_GB2312" w:cs="仿宋_GB2312"/>
          <w:sz w:val="32"/>
          <w:szCs w:val="32"/>
        </w:rPr>
        <w:t>全国</w:t>
      </w:r>
      <w:r>
        <w:rPr>
          <w:rFonts w:hint="eastAsia" w:ascii="仿宋_GB2312" w:hAnsi="Calibri" w:eastAsia="仿宋_GB2312" w:cs="Times New Roman"/>
          <w:b w:val="0"/>
          <w:bCs w:val="0"/>
          <w:kern w:val="2"/>
          <w:sz w:val="32"/>
          <w:szCs w:val="32"/>
          <w:lang w:val="en-US" w:eastAsia="zh-CN" w:bidi="ar-SA"/>
        </w:rPr>
        <w:t>重点实验室（学科类）能力建设专项申报书。</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执行单位：市科技局基础研究处（重大任务处），电话：88779778。</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 xml:space="preserve">第四条  </w:t>
      </w:r>
      <w:r>
        <w:rPr>
          <w:rFonts w:hint="eastAsia" w:ascii="仿宋_GB2312" w:hAnsi="仿宋_GB2312" w:eastAsia="仿宋_GB2312" w:cs="仿宋_GB2312"/>
          <w:sz w:val="32"/>
          <w:szCs w:val="32"/>
        </w:rPr>
        <w:t>支持省实验室建设。</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申报单位：省实验室依托单位。</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支持方式：按照《吉林省人民政府办公厅关于印发〈吉林省实验室管理办法（试行）〉的通知》（吉政办发〔2024〕13号）《吉林省实验室专项经费管理使用规则（试行）》（吉财教〔2024〕884号）等文件执行。</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黑体" w:hAnsi="黑体" w:eastAsia="黑体" w:cs="黑体"/>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执行单位：市科技局基础研究处（重大任务处），电话：88779778。</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第五条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聚焦企业创新需求，实施重点研发计划，支持企业自主攻关或产学研联合攻关产业关键技术，重大项目最高给予1000万元补助，重点项目最高给予200万元补助，其他项目</w:t>
      </w:r>
      <w:r>
        <w:rPr>
          <w:rFonts w:hint="eastAsia" w:ascii="仿宋_GB2312" w:hAnsi="仿宋_GB2312" w:eastAsia="仿宋_GB2312" w:cs="仿宋_GB2312"/>
          <w:sz w:val="32"/>
          <w:szCs w:val="32"/>
          <w:lang w:eastAsia="zh-CN"/>
        </w:rPr>
        <w:t>最高</w:t>
      </w:r>
      <w:r>
        <w:rPr>
          <w:rFonts w:hint="eastAsia" w:ascii="仿宋_GB2312" w:hAnsi="仿宋_GB2312" w:eastAsia="仿宋_GB2312" w:cs="仿宋_GB2312"/>
          <w:sz w:val="32"/>
          <w:szCs w:val="32"/>
        </w:rPr>
        <w:t>给予50万元补助。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支持方式：前补助，项目立项拨付70%的补助资金，项目验收合格后拨付剩余资金。</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在长春市发展运营的企业，需具备以下条件：（1）具有前期工作基础、较强的研发实力、较好的科研条件和稳定的科研队伍，有能力完成项目研发任务；（2）申报单位须提供配套资金，配套资金金额不低于2倍项目申请科技资金。配套资金须在项目执行期内使用，不得使用货币资金之外的资产或其他财政资金作为资金来源；（3）联合申报的，双方应有较好合作基础并在申报前签有合作协议（合作协议须明确合作内容、任务分工、资金投入、知识产权归属等）。科技资金由申报单位使用，合作单位可以使用配套资金。</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长春市科技计划项目申报书；（2）配套资金承诺书；（3）申报单位生产经营、科技创新、知识产权等与申报项目有关的材料；（4）项目负责人身份证、学历或职称复印件、与所在单位签订的全职工作合同和社保缴费材料以及项目负责人科研能力、业绩等与申报项目有关的材料。</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执行单位：市科技局，高新技术处（汽车及零部件、高端装备、光电信息、新材料领域），电话：88777273，农村和社会发展科技处（农业、社会发展和生物医药领域），电话：88777271。</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第六条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推行科技攻关“揭榜挂帅”模式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面向全市企业征集技术难题形成榜单，面向全国发榜征集创新主体揭榜攻关，对</w:t>
      </w:r>
      <w:r>
        <w:rPr>
          <w:rFonts w:hint="eastAsia" w:ascii="仿宋_GB2312" w:hAnsi="仿宋_GB2312" w:eastAsia="仿宋_GB2312" w:cs="仿宋_GB2312"/>
          <w:sz w:val="32"/>
          <w:szCs w:val="32"/>
          <w:lang w:eastAsia="zh-CN"/>
        </w:rPr>
        <w:t>符合条件的</w:t>
      </w:r>
      <w:r>
        <w:rPr>
          <w:rFonts w:hint="eastAsia" w:ascii="仿宋_GB2312" w:hAnsi="仿宋_GB2312" w:eastAsia="仿宋_GB2312" w:cs="仿宋_GB2312"/>
          <w:sz w:val="32"/>
          <w:szCs w:val="32"/>
        </w:rPr>
        <w:t>发榜企业最高给予1000万元补助。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支持方式：补助资金分两期拨付，项目立项拨付50%的补助资金，项目验收合格后拨付剩余资金。</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1）发榜企业条件：在长春市发展运营的企业，需同时具备以下条件：①企业有自身不能解决的技术难题；②技术难题破解后可显著促进企业发展；（2）揭榜单位条件：国内高等学校、科研院所、企业、新型研发机构，需同时具备以下条件：①在项目相关领域有较强的科研实力、较好的科研条件和稳定的科研队伍，有能力完成项目任务；②与发榜单位不是隶属关系、不是关联方，且双方未就榜单任务开展研发。</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发榜申报材料：①《长春市科技攻关“揭榜挂帅”项目发榜申报书》；②《技术开发（委托）合同》；③企业生产经营、科技创新方面的材料；（2）揭榜申报材料：①《长春市科技攻关“揭榜挂帅”项目揭榜申报书》；②《技术开发（委托）合同》；③揭榜单位生产、科研业绩等相关材料；④揭榜单位项目负责人身份证、学历或职称复印件、与所在单位签订的全职工作合同和社保缴费材料；⑤项目开发、转化、应用推广相关材料；⑥如有参加单位的，需提供揭榜单位与参加单位的合作协议。</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实施流程：（1）征集榜单：发布指南、发榜申报、属地推荐、专家辅导、形式审查、专家评审、发布榜单；（2）组织揭榜：发布指南、揭榜申报、审查推荐、形式审查、专家评审、立项实施。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执行单位：市科技局，高新技术处（汽车及零部件、高端装备、光电信息、新材料领域），电话：88777273，农村和社会发展科技处（农业、社会发展和生物医药领域），电话：88777271。</w:t>
      </w:r>
    </w:p>
    <w:p>
      <w:pPr>
        <w:keepNext w:val="0"/>
        <w:keepLines w:val="0"/>
        <w:pageBreakBefore w:val="0"/>
        <w:widowControl w:val="0"/>
        <w:numPr>
          <w:ilvl w:val="0"/>
          <w:numId w:val="0"/>
        </w:numPr>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第七条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对高校院所科技成果</w:t>
      </w:r>
      <w:r>
        <w:rPr>
          <w:rFonts w:hint="eastAsia" w:ascii="仿宋_GB2312" w:hAnsi="仿宋_GB2312" w:eastAsia="仿宋_GB2312" w:cs="仿宋_GB2312"/>
          <w:sz w:val="32"/>
          <w:szCs w:val="32"/>
          <w:lang w:eastAsia="zh-CN"/>
        </w:rPr>
        <w:t>落地</w:t>
      </w:r>
      <w:r>
        <w:rPr>
          <w:rFonts w:hint="eastAsia" w:ascii="仿宋_GB2312" w:hAnsi="仿宋_GB2312" w:eastAsia="仿宋_GB2312" w:cs="仿宋_GB2312"/>
          <w:sz w:val="32"/>
          <w:szCs w:val="32"/>
        </w:rPr>
        <w:t>项目，采用“基金+补助”方式给予资金支持，每个项目最高给予1000万元补助。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支持方式：采取前置协议制，对域内外高校院所优质科技成果产业化项目以“基金+补助”方式给予资金支持。</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实施流程：项目尽调、审定立项、签订协议、组织实施。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default"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第八条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实施“先投后股”科技成果转化计划项目，探索财政资金有偿投入新路径。</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Calibri" w:eastAsia="仿宋_GB2312" w:cs="Times New Roman"/>
          <w:b w:val="0"/>
          <w:bCs w:val="0"/>
          <w:kern w:val="2"/>
          <w:sz w:val="32"/>
          <w:szCs w:val="32"/>
          <w:lang w:val="en-US" w:eastAsia="zh-CN" w:bidi="ar-SA"/>
        </w:rPr>
        <w:t>申报单位和条件：（1）</w:t>
      </w:r>
      <w:r>
        <w:rPr>
          <w:rFonts w:hint="eastAsia" w:ascii="仿宋_GB2312" w:hAnsi="仿宋_GB2312" w:eastAsia="仿宋_GB2312" w:cs="仿宋_GB2312"/>
          <w:sz w:val="32"/>
          <w:szCs w:val="32"/>
          <w:lang w:val="en-US" w:eastAsia="zh-CN"/>
        </w:rPr>
        <w:t>长春</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val="en-US" w:eastAsia="zh-CN"/>
        </w:rPr>
        <w:t>域</w:t>
      </w:r>
      <w:r>
        <w:rPr>
          <w:rFonts w:hint="eastAsia" w:ascii="仿宋_GB2312" w:hAnsi="仿宋_GB2312" w:eastAsia="仿宋_GB2312" w:cs="仿宋_GB2312"/>
          <w:sz w:val="32"/>
          <w:szCs w:val="32"/>
        </w:rPr>
        <w:t>内</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的科技型企业；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）项目应符合</w:t>
      </w:r>
      <w:r>
        <w:rPr>
          <w:rFonts w:hint="eastAsia" w:ascii="仿宋_GB2312" w:hAnsi="仿宋_GB2312" w:eastAsia="仿宋_GB2312" w:cs="仿宋_GB2312"/>
          <w:sz w:val="32"/>
          <w:szCs w:val="32"/>
          <w:lang w:val="en-US" w:eastAsia="zh-CN"/>
        </w:rPr>
        <w:t>长春市</w:t>
      </w:r>
      <w:r>
        <w:rPr>
          <w:rFonts w:hint="eastAsia" w:ascii="仿宋_GB2312" w:hAnsi="仿宋_GB2312" w:eastAsia="仿宋_GB2312" w:cs="仿宋_GB2312"/>
          <w:sz w:val="32"/>
          <w:szCs w:val="32"/>
          <w:lang w:eastAsia="zh-CN"/>
        </w:rPr>
        <w:t>产业需求，聚焦汽车产业技术、高端装备制造、光电技术、新一代信息技术、先进材料、先进绿色制造等领域；（</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）项目具有较好的开发价值，有良好的产业化前景，技术路线及实施方案具有可行性，不存在知识产权争议和纠纷</w:t>
      </w:r>
      <w:r>
        <w:rPr>
          <w:rFonts w:hint="eastAsia" w:ascii="仿宋_GB2312" w:hAnsi="Calibri" w:eastAsia="仿宋_GB2312" w:cs="Times New Roman"/>
          <w:b w:val="0"/>
          <w:bCs w:val="0"/>
          <w:kern w:val="2"/>
          <w:sz w:val="32"/>
          <w:szCs w:val="32"/>
          <w:lang w:val="en-US" w:eastAsia="zh-CN" w:bidi="ar-SA"/>
        </w:rPr>
        <w:t>；（4）项目负责人为企业法人，无违法失信和不良科研诚信记录，未纳入“失信联合惩戒对象名单”，无影响项目实施的未决诉讼。</w:t>
      </w:r>
    </w:p>
    <w:p>
      <w:pPr>
        <w:keepNext w:val="0"/>
        <w:keepLines w:val="0"/>
        <w:pageBreakBefore w:val="0"/>
        <w:widowControl w:val="0"/>
        <w:kinsoku/>
        <w:wordWrap/>
        <w:overflowPunct/>
        <w:topLinePunct w:val="0"/>
        <w:bidi w:val="0"/>
        <w:snapToGrid/>
        <w:spacing w:line="240" w:lineRule="auto"/>
        <w:ind w:firstLine="64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申报材料：（1）项目申报书；（2）企业营业执照、研发投入、知识产权等与申报项目有关的材料。</w:t>
      </w:r>
    </w:p>
    <w:p>
      <w:pPr>
        <w:keepNext w:val="0"/>
        <w:keepLines w:val="0"/>
        <w:pageBreakBefore w:val="0"/>
        <w:widowControl w:val="0"/>
        <w:kinsoku/>
        <w:wordWrap/>
        <w:overflowPunct/>
        <w:topLinePunct w:val="0"/>
        <w:bidi w:val="0"/>
        <w:snapToGrid/>
        <w:spacing w:line="240" w:lineRule="auto"/>
        <w:ind w:firstLine="64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eastAsia="仿宋_GB2312" w:cs="Times New Roman"/>
          <w:b w:val="0"/>
          <w:bCs w:val="0"/>
          <w:color w:val="auto"/>
          <w:kern w:val="2"/>
          <w:sz w:val="32"/>
          <w:szCs w:val="32"/>
          <w:highlight w:val="none"/>
          <w:lang w:val="en-US" w:eastAsia="zh-CN" w:bidi="ar-SA"/>
        </w:rPr>
      </w:pPr>
      <w:r>
        <w:rPr>
          <w:rFonts w:hint="eastAsia" w:ascii="黑体" w:hAnsi="黑体" w:eastAsia="黑体" w:cs="黑体"/>
          <w:b w:val="0"/>
          <w:bCs w:val="0"/>
          <w:kern w:val="2"/>
          <w:sz w:val="32"/>
          <w:szCs w:val="32"/>
          <w:lang w:val="en-US" w:eastAsia="zh-CN" w:bidi="ar-SA"/>
        </w:rPr>
        <w:t>第九条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实施医工转化</w:t>
      </w:r>
      <w:r>
        <w:rPr>
          <w:rFonts w:hint="eastAsia" w:ascii="仿宋_GB2312" w:hAnsi="仿宋_GB2312" w:eastAsia="仿宋_GB2312" w:cs="仿宋_GB2312"/>
          <w:sz w:val="32"/>
          <w:szCs w:val="32"/>
          <w:lang w:eastAsia="zh-CN"/>
        </w:rPr>
        <w:t>平台项目扶持</w:t>
      </w:r>
      <w:r>
        <w:rPr>
          <w:rFonts w:hint="eastAsia" w:ascii="仿宋_GB2312" w:hAnsi="仿宋_GB2312" w:eastAsia="仿宋_GB2312" w:cs="仿宋_GB2312"/>
          <w:sz w:val="32"/>
          <w:szCs w:val="32"/>
        </w:rPr>
        <w:t>计划，建立“临床需求—研发攻关—产业转化”协同机制，</w:t>
      </w:r>
      <w:r>
        <w:rPr>
          <w:rFonts w:hint="eastAsia" w:ascii="仿宋_GB2312" w:hAnsi="仿宋_GB2312" w:eastAsia="仿宋_GB2312" w:cs="仿宋_GB2312"/>
          <w:sz w:val="32"/>
          <w:szCs w:val="32"/>
          <w:lang w:eastAsia="zh-CN"/>
        </w:rPr>
        <w:t>应用项</w:t>
      </w:r>
      <w:r>
        <w:rPr>
          <w:rFonts w:hint="eastAsia" w:ascii="仿宋_GB2312" w:hAnsi="仿宋_GB2312" w:eastAsia="仿宋_GB2312" w:cs="仿宋_GB2312"/>
          <w:sz w:val="32"/>
          <w:szCs w:val="32"/>
        </w:rPr>
        <w:t>目最高给予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00万元补助，</w:t>
      </w:r>
      <w:r>
        <w:rPr>
          <w:rFonts w:hint="eastAsia" w:ascii="仿宋_GB2312" w:hAnsi="仿宋_GB2312" w:eastAsia="仿宋_GB2312" w:cs="仿宋_GB2312"/>
          <w:sz w:val="32"/>
          <w:szCs w:val="32"/>
          <w:lang w:eastAsia="zh-CN"/>
        </w:rPr>
        <w:t>开发</w:t>
      </w:r>
      <w:r>
        <w:rPr>
          <w:rFonts w:hint="eastAsia" w:ascii="仿宋_GB2312" w:hAnsi="仿宋_GB2312" w:eastAsia="仿宋_GB2312" w:cs="仿宋_GB2312"/>
          <w:sz w:val="32"/>
          <w:szCs w:val="32"/>
        </w:rPr>
        <w:t>项目最高给予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0万元补助，</w:t>
      </w:r>
      <w:r>
        <w:rPr>
          <w:rFonts w:hint="eastAsia" w:ascii="仿宋_GB2312" w:hAnsi="仿宋_GB2312" w:eastAsia="仿宋_GB2312" w:cs="仿宋_GB2312"/>
          <w:sz w:val="32"/>
          <w:szCs w:val="32"/>
          <w:lang w:eastAsia="zh-CN"/>
        </w:rPr>
        <w:t>引育</w:t>
      </w:r>
      <w:r>
        <w:rPr>
          <w:rFonts w:hint="eastAsia" w:ascii="仿宋_GB2312" w:hAnsi="仿宋_GB2312" w:eastAsia="仿宋_GB2312" w:cs="仿宋_GB2312"/>
          <w:sz w:val="32"/>
          <w:szCs w:val="32"/>
        </w:rPr>
        <w:t>项目给</w:t>
      </w:r>
      <w:r>
        <w:rPr>
          <w:rFonts w:hint="eastAsia" w:ascii="仿宋_GB2312" w:eastAsia="仿宋_GB2312" w:cs="Times New Roman"/>
          <w:b w:val="0"/>
          <w:bCs w:val="0"/>
          <w:color w:val="auto"/>
          <w:kern w:val="2"/>
          <w:sz w:val="32"/>
          <w:szCs w:val="32"/>
          <w:highlight w:val="none"/>
          <w:lang w:val="en-US" w:eastAsia="zh-CN" w:bidi="ar-SA"/>
        </w:rPr>
        <w:t>予20万元补助。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eastAsia="仿宋_GB2312" w:cs="Times New Roman"/>
          <w:b w:val="0"/>
          <w:bCs w:val="0"/>
          <w:color w:val="auto"/>
          <w:kern w:val="2"/>
          <w:sz w:val="32"/>
          <w:szCs w:val="32"/>
          <w:highlight w:val="none"/>
          <w:lang w:val="en-US" w:eastAsia="zh-CN" w:bidi="ar-SA"/>
        </w:rPr>
      </w:pPr>
      <w:r>
        <w:rPr>
          <w:rFonts w:hint="eastAsia" w:ascii="仿宋_GB2312" w:eastAsia="仿宋_GB2312" w:cs="Times New Roman"/>
          <w:b w:val="0"/>
          <w:bCs w:val="0"/>
          <w:color w:val="auto"/>
          <w:kern w:val="2"/>
          <w:sz w:val="32"/>
          <w:szCs w:val="32"/>
          <w:highlight w:val="none"/>
          <w:lang w:val="en-US" w:eastAsia="zh-CN" w:bidi="ar-SA"/>
        </w:rPr>
        <w:t>支持方式：前补助，项目立项拨付</w:t>
      </w:r>
      <w:r>
        <w:rPr>
          <w:rFonts w:hint="default" w:ascii="仿宋_GB2312" w:eastAsia="仿宋_GB2312" w:cs="Times New Roman"/>
          <w:b w:val="0"/>
          <w:bCs w:val="0"/>
          <w:color w:val="auto"/>
          <w:kern w:val="2"/>
          <w:sz w:val="32"/>
          <w:szCs w:val="32"/>
          <w:highlight w:val="none"/>
          <w:lang w:val="en-US" w:eastAsia="zh-CN" w:bidi="ar-SA"/>
        </w:rPr>
        <w:t>50</w:t>
      </w:r>
      <w:r>
        <w:rPr>
          <w:rFonts w:hint="eastAsia" w:ascii="仿宋_GB2312" w:eastAsia="仿宋_GB2312" w:cs="Times New Roman"/>
          <w:b w:val="0"/>
          <w:bCs w:val="0"/>
          <w:color w:val="auto"/>
          <w:kern w:val="2"/>
          <w:sz w:val="32"/>
          <w:szCs w:val="32"/>
          <w:highlight w:val="none"/>
          <w:lang w:val="en-US" w:eastAsia="zh-CN" w:bidi="ar-SA"/>
        </w:rPr>
        <w:t>%的补助资金，项目验收合格后拨付剩余资金。</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eastAsia="仿宋_GB2312" w:cs="Times New Roman"/>
          <w:b w:val="0"/>
          <w:bCs w:val="0"/>
          <w:color w:val="auto"/>
          <w:kern w:val="2"/>
          <w:sz w:val="32"/>
          <w:szCs w:val="32"/>
          <w:highlight w:val="none"/>
          <w:lang w:val="en-US" w:eastAsia="zh-CN" w:bidi="ar-SA"/>
        </w:rPr>
      </w:pPr>
      <w:r>
        <w:rPr>
          <w:rFonts w:hint="eastAsia" w:ascii="仿宋_GB2312" w:eastAsia="仿宋_GB2312" w:cs="Times New Roman"/>
          <w:b w:val="0"/>
          <w:bCs w:val="0"/>
          <w:color w:val="auto"/>
          <w:kern w:val="2"/>
          <w:sz w:val="32"/>
          <w:szCs w:val="32"/>
          <w:highlight w:val="none"/>
          <w:lang w:val="en-US" w:eastAsia="zh-CN" w:bidi="ar-SA"/>
        </w:rPr>
        <w:t>申报单位和条件：</w:t>
      </w:r>
      <w:r>
        <w:rPr>
          <w:rFonts w:hint="eastAsia" w:ascii="仿宋_GB2312" w:eastAsia="仿宋_GB2312" w:cs="Times New Roman"/>
          <w:b w:val="0"/>
          <w:bCs w:val="0"/>
          <w:color w:val="auto"/>
          <w:kern w:val="2"/>
          <w:sz w:val="32"/>
          <w:szCs w:val="32"/>
          <w:highlight w:val="none"/>
          <w:lang w:val="en-US" w:eastAsia="zh-CN" w:bidi="ar-SA"/>
        </w:rPr>
        <w:t>申报主体须为长春市</w:t>
      </w:r>
      <w:r>
        <w:rPr>
          <w:rFonts w:hint="eastAsia" w:ascii="仿宋_GB2312" w:eastAsia="仿宋_GB2312" w:cs="Times New Roman"/>
          <w:b w:val="0"/>
          <w:bCs w:val="0"/>
          <w:color w:val="auto"/>
          <w:kern w:val="2"/>
          <w:sz w:val="32"/>
          <w:szCs w:val="32"/>
          <w:highlight w:val="none"/>
          <w:lang w:val="en-US" w:eastAsia="zh-CN" w:bidi="ar-SA"/>
        </w:rPr>
        <w:t>高校院所、企业</w:t>
      </w:r>
      <w:r>
        <w:rPr>
          <w:rFonts w:hint="eastAsia" w:ascii="仿宋_GB2312" w:eastAsia="仿宋_GB2312" w:cs="Times New Roman"/>
          <w:b w:val="0"/>
          <w:bCs w:val="0"/>
          <w:color w:val="auto"/>
          <w:kern w:val="2"/>
          <w:sz w:val="32"/>
          <w:szCs w:val="32"/>
          <w:highlight w:val="none"/>
          <w:lang w:val="en-US" w:eastAsia="zh-CN" w:bidi="ar-SA"/>
        </w:rPr>
        <w:t>及医疗机构</w:t>
      </w:r>
      <w:r>
        <w:rPr>
          <w:rFonts w:hint="eastAsia" w:ascii="仿宋_GB2312" w:eastAsia="仿宋_GB2312" w:cs="Times New Roman"/>
          <w:b w:val="0"/>
          <w:bCs w:val="0"/>
          <w:color w:val="auto"/>
          <w:kern w:val="2"/>
          <w:sz w:val="32"/>
          <w:szCs w:val="32"/>
          <w:highlight w:val="none"/>
          <w:lang w:val="en-US" w:eastAsia="zh-CN" w:bidi="ar-SA"/>
        </w:rPr>
        <w:t>，可独立申报或联合申报，优先支持产学研联合、具有良好的产业化前景、切实可靠的技术路线及实施方案的项目。（1）具有前期工作基础、较强的研发实力、较好的科研条件和稳定的科研队伍，有能力完成项目任务；（</w:t>
      </w:r>
      <w:r>
        <w:rPr>
          <w:rFonts w:hint="eastAsia" w:ascii="仿宋_GB2312" w:eastAsia="仿宋_GB2312" w:cs="Times New Roman"/>
          <w:b w:val="0"/>
          <w:bCs w:val="0"/>
          <w:color w:val="auto"/>
          <w:kern w:val="2"/>
          <w:sz w:val="32"/>
          <w:szCs w:val="32"/>
          <w:highlight w:val="none"/>
          <w:lang w:val="en-US" w:eastAsia="zh-CN" w:bidi="ar-SA"/>
        </w:rPr>
        <w:t>2）申报单位须提供配套资金，配套资金金额不低于2倍项目申请科技资金。配套资金须在项目执行期内使用，不得使用货币资金之外的资产或其他财政资金作为资金来源</w:t>
      </w:r>
      <w:r>
        <w:rPr>
          <w:rFonts w:hint="eastAsia" w:ascii="仿宋_GB2312" w:eastAsia="仿宋_GB2312" w:cs="Times New Roman"/>
          <w:b w:val="0"/>
          <w:bCs w:val="0"/>
          <w:color w:val="auto"/>
          <w:kern w:val="2"/>
          <w:sz w:val="32"/>
          <w:szCs w:val="32"/>
          <w:highlight w:val="none"/>
          <w:lang w:val="en-US" w:eastAsia="zh-CN" w:bidi="ar-SA"/>
        </w:rPr>
        <w:t>。</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eastAsia="仿宋_GB2312" w:cs="Times New Roman"/>
          <w:b w:val="0"/>
          <w:bCs w:val="0"/>
          <w:color w:val="auto"/>
          <w:kern w:val="2"/>
          <w:sz w:val="32"/>
          <w:szCs w:val="32"/>
          <w:highlight w:val="none"/>
          <w:lang w:val="en-US" w:eastAsia="zh-CN" w:bidi="ar-SA"/>
        </w:rPr>
      </w:pPr>
      <w:r>
        <w:rPr>
          <w:rFonts w:hint="eastAsia" w:ascii="仿宋_GB2312" w:eastAsia="仿宋_GB2312" w:cs="Times New Roman"/>
          <w:b w:val="0"/>
          <w:bCs w:val="0"/>
          <w:color w:val="auto"/>
          <w:kern w:val="2"/>
          <w:sz w:val="32"/>
          <w:szCs w:val="32"/>
          <w:highlight w:val="none"/>
          <w:lang w:val="en-US" w:eastAsia="zh-CN" w:bidi="ar-SA"/>
        </w:rPr>
        <w:t>申报材料：（1）项目申报书；（2）</w:t>
      </w:r>
      <w:r>
        <w:rPr>
          <w:rFonts w:hint="eastAsia" w:ascii="仿宋_GB2312" w:eastAsia="仿宋_GB2312" w:cs="Times New Roman"/>
          <w:b w:val="0"/>
          <w:bCs w:val="0"/>
          <w:color w:val="auto"/>
          <w:kern w:val="2"/>
          <w:sz w:val="32"/>
          <w:szCs w:val="32"/>
          <w:highlight w:val="none"/>
          <w:lang w:val="en-US" w:eastAsia="zh-CN" w:bidi="ar-SA"/>
        </w:rPr>
        <w:t>年度财务审计报告；（3）配套资金承诺书；（</w:t>
      </w:r>
      <w:r>
        <w:rPr>
          <w:rFonts w:hint="eastAsia" w:ascii="仿宋_GB2312" w:eastAsia="仿宋_GB2312" w:cs="Times New Roman"/>
          <w:b w:val="0"/>
          <w:bCs w:val="0"/>
          <w:color w:val="auto"/>
          <w:kern w:val="2"/>
          <w:sz w:val="32"/>
          <w:szCs w:val="32"/>
          <w:highlight w:val="none"/>
          <w:lang w:val="en-US" w:eastAsia="zh-CN" w:bidi="ar-SA"/>
        </w:rPr>
        <w:t>4）申报单位科技创新、知识产权等与申报项目有关的材料；（</w:t>
      </w:r>
      <w:r>
        <w:rPr>
          <w:rFonts w:hint="eastAsia" w:ascii="仿宋_GB2312" w:eastAsia="仿宋_GB2312" w:cs="Times New Roman"/>
          <w:b w:val="0"/>
          <w:bCs w:val="0"/>
          <w:color w:val="auto"/>
          <w:kern w:val="2"/>
          <w:sz w:val="32"/>
          <w:szCs w:val="32"/>
          <w:highlight w:val="none"/>
          <w:lang w:val="en-US" w:eastAsia="zh-CN" w:bidi="ar-SA"/>
        </w:rPr>
        <w:t>5）项目负责人身份证复印件、学位证书复印件、职称证明材料、</w:t>
      </w:r>
      <w:r>
        <w:rPr>
          <w:rFonts w:hint="eastAsia" w:ascii="仿宋_GB2312" w:eastAsia="仿宋_GB2312" w:cs="Times New Roman"/>
          <w:b w:val="0"/>
          <w:bCs w:val="0"/>
          <w:color w:val="auto"/>
          <w:kern w:val="2"/>
          <w:sz w:val="32"/>
          <w:szCs w:val="32"/>
          <w:highlight w:val="none"/>
          <w:lang w:val="en-US" w:eastAsia="zh-CN" w:bidi="ar-SA"/>
        </w:rPr>
        <w:t>在职证明材料以及项目负责人科研能力、业绩等与申报项目有关的材料；（</w:t>
      </w:r>
      <w:r>
        <w:rPr>
          <w:rFonts w:hint="eastAsia" w:ascii="仿宋_GB2312" w:eastAsia="仿宋_GB2312" w:cs="Times New Roman"/>
          <w:b w:val="0"/>
          <w:bCs w:val="0"/>
          <w:color w:val="auto"/>
          <w:kern w:val="2"/>
          <w:sz w:val="32"/>
          <w:szCs w:val="32"/>
          <w:highlight w:val="none"/>
          <w:lang w:val="en-US" w:eastAsia="zh-CN" w:bidi="ar-SA"/>
        </w:rPr>
        <w:t>6）联合申报</w:t>
      </w:r>
      <w:r>
        <w:rPr>
          <w:rFonts w:hint="eastAsia" w:ascii="仿宋_GB2312" w:eastAsia="仿宋_GB2312" w:cs="Times New Roman"/>
          <w:b w:val="0"/>
          <w:bCs w:val="0"/>
          <w:color w:val="auto"/>
          <w:kern w:val="2"/>
          <w:sz w:val="32"/>
          <w:szCs w:val="32"/>
          <w:highlight w:val="none"/>
          <w:lang w:val="en-US" w:eastAsia="zh-CN" w:bidi="ar-SA"/>
        </w:rPr>
        <w:t>须提交正式合作协议（</w:t>
      </w:r>
      <w:r>
        <w:rPr>
          <w:rFonts w:hint="eastAsia" w:ascii="仿宋_GB2312" w:eastAsia="仿宋_GB2312" w:cs="Times New Roman"/>
          <w:b w:val="0"/>
          <w:bCs w:val="0"/>
          <w:color w:val="auto"/>
          <w:kern w:val="2"/>
          <w:sz w:val="32"/>
          <w:szCs w:val="32"/>
          <w:highlight w:val="none"/>
          <w:lang w:val="en-US" w:eastAsia="zh-CN" w:bidi="ar-SA"/>
        </w:rPr>
        <w:t>包括合作内容、任务分工、</w:t>
      </w:r>
      <w:r>
        <w:rPr>
          <w:rFonts w:hint="eastAsia" w:ascii="仿宋_GB2312" w:eastAsia="仿宋_GB2312" w:cs="Times New Roman"/>
          <w:b w:val="0"/>
          <w:bCs w:val="0"/>
          <w:color w:val="auto"/>
          <w:kern w:val="2"/>
          <w:sz w:val="32"/>
          <w:szCs w:val="32"/>
          <w:highlight w:val="none"/>
          <w:lang w:val="en-US" w:eastAsia="zh-CN" w:bidi="ar-SA"/>
        </w:rPr>
        <w:t>经费投入、经费分配、知识产权归属等）。</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eastAsia="仿宋_GB2312" w:cs="Times New Roman"/>
          <w:b w:val="0"/>
          <w:bCs w:val="0"/>
          <w:color w:val="auto"/>
          <w:kern w:val="2"/>
          <w:sz w:val="32"/>
          <w:szCs w:val="32"/>
          <w:highlight w:val="none"/>
          <w:lang w:val="en-US" w:eastAsia="zh-CN" w:bidi="ar-SA"/>
        </w:rPr>
      </w:pPr>
      <w:r>
        <w:rPr>
          <w:rFonts w:hint="eastAsia" w:ascii="仿宋_GB2312" w:eastAsia="仿宋_GB2312" w:cs="Times New Roman"/>
          <w:b w:val="0"/>
          <w:bCs w:val="0"/>
          <w:color w:val="auto"/>
          <w:kern w:val="2"/>
          <w:sz w:val="32"/>
          <w:szCs w:val="32"/>
          <w:highlight w:val="none"/>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eastAsia="仿宋_GB2312" w:cs="Times New Roman"/>
          <w:b w:val="0"/>
          <w:bCs w:val="0"/>
          <w:color w:val="auto"/>
          <w:kern w:val="2"/>
          <w:sz w:val="32"/>
          <w:szCs w:val="32"/>
          <w:highlight w:val="none"/>
          <w:lang w:val="en-US" w:eastAsia="zh-CN" w:bidi="ar-SA"/>
        </w:rPr>
      </w:pPr>
      <w:r>
        <w:rPr>
          <w:rFonts w:hint="eastAsia" w:ascii="仿宋_GB2312" w:eastAsia="仿宋_GB2312" w:cs="Times New Roman"/>
          <w:b w:val="0"/>
          <w:bCs w:val="0"/>
          <w:color w:val="auto"/>
          <w:kern w:val="2"/>
          <w:sz w:val="32"/>
          <w:szCs w:val="32"/>
          <w:highlight w:val="none"/>
          <w:lang w:val="en-US" w:eastAsia="zh-CN" w:bidi="ar-SA"/>
        </w:rPr>
        <w:t>执行单位：市科技局农村和社会发展科技处，电话：88777271。</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鼓励县（市）区、开发区建设科技大市场，</w:t>
      </w:r>
      <w:r>
        <w:rPr>
          <w:rFonts w:hint="eastAsia" w:ascii="仿宋_GB2312" w:hAnsi="仿宋_GB2312" w:eastAsia="仿宋_GB2312" w:cs="仿宋_GB2312"/>
          <w:sz w:val="32"/>
          <w:szCs w:val="32"/>
          <w:lang w:eastAsia="zh-CN"/>
        </w:rPr>
        <w:t>符合条件的</w:t>
      </w:r>
      <w:r>
        <w:rPr>
          <w:rFonts w:hint="eastAsia" w:ascii="仿宋_GB2312" w:hAnsi="仿宋_GB2312" w:eastAsia="仿宋_GB2312" w:cs="仿宋_GB2312"/>
          <w:sz w:val="32"/>
          <w:szCs w:val="32"/>
        </w:rPr>
        <w:t>科技大市场最高给予500万元补助。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 xml:space="preserve">申报单位和条件：（1）长春市域内企事业单位，有线上服务平台和一定规模的线下服务场所，能够集聚科技创新资源并开展技术合同认定登记、科技金融、成果转化、知识产权、科技培训、人才培养、对外合作、科创活动等多样化服务的技术市场。每年需有明确的科技成果转移转化服务、科技创新创业服务等方面的运营目标；（2）设立技术合同认定登记机构满1年（含）以上，且登记技术合同成交额申报当年累计不低于10亿元。   </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highlight w:val="none"/>
          <w:lang w:val="en-US" w:eastAsia="zh-CN" w:bidi="ar-SA"/>
        </w:rPr>
        <w:t>申报材料：（1）技术市场补助申报表；（2</w:t>
      </w:r>
      <w:r>
        <w:rPr>
          <w:rFonts w:hint="eastAsia" w:ascii="仿宋_GB2312" w:hAnsi="Calibri" w:eastAsia="仿宋_GB2312" w:cs="Times New Roman"/>
          <w:b w:val="0"/>
          <w:bCs w:val="0"/>
          <w:kern w:val="2"/>
          <w:sz w:val="32"/>
          <w:szCs w:val="32"/>
          <w:lang w:val="en-US" w:eastAsia="zh-CN" w:bidi="ar-SA"/>
        </w:rPr>
        <w:t>）技术市场建设和工作开展情况相关材料。主要包括：管理制度、技术经纪人占比、服务场所面积、线上服务平台、入驻机构、活动情况、发布成果、需求情况、服务企业及高校院所情况、科技金融情况等；（3）自评报告等材料。</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highlight w:val="none"/>
          <w:lang w:val="en-US" w:eastAsia="zh-CN" w:bidi="ar-SA"/>
        </w:rPr>
        <w:t>实施流程：发布</w:t>
      </w:r>
      <w:r>
        <w:rPr>
          <w:rFonts w:hint="eastAsia" w:ascii="仿宋_GB2312" w:hAnsi="Calibri" w:eastAsia="仿宋_GB2312" w:cs="Times New Roman"/>
          <w:b w:val="0"/>
          <w:bCs w:val="0"/>
          <w:kern w:val="2"/>
          <w:sz w:val="32"/>
          <w:szCs w:val="32"/>
          <w:lang w:val="en-US" w:eastAsia="zh-CN" w:bidi="ar-SA"/>
        </w:rPr>
        <w:t>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第十一条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医工</w:t>
      </w:r>
      <w:r>
        <w:rPr>
          <w:rFonts w:hint="eastAsia" w:ascii="仿宋_GB2312" w:hAnsi="仿宋_GB2312" w:eastAsia="仿宋_GB2312" w:cs="仿宋_GB2312"/>
          <w:sz w:val="32"/>
          <w:szCs w:val="32"/>
          <w:lang w:eastAsia="zh-CN"/>
        </w:rPr>
        <w:t>转化</w:t>
      </w:r>
      <w:r>
        <w:rPr>
          <w:rFonts w:hint="eastAsia" w:ascii="仿宋_GB2312" w:hAnsi="仿宋_GB2312" w:eastAsia="仿宋_GB2312" w:cs="仿宋_GB2312"/>
          <w:sz w:val="32"/>
          <w:szCs w:val="32"/>
        </w:rPr>
        <w:t>平台</w:t>
      </w:r>
      <w:r>
        <w:rPr>
          <w:rFonts w:hint="eastAsia" w:ascii="仿宋_GB2312" w:hAnsi="仿宋_GB2312" w:eastAsia="仿宋_GB2312" w:cs="仿宋_GB2312"/>
          <w:sz w:val="32"/>
          <w:szCs w:val="32"/>
          <w:lang w:eastAsia="zh-CN"/>
        </w:rPr>
        <w:t>建设，</w:t>
      </w:r>
      <w:r>
        <w:rPr>
          <w:rFonts w:hint="eastAsia" w:ascii="仿宋_GB2312" w:hAnsi="仿宋_GB2312" w:eastAsia="仿宋_GB2312" w:cs="仿宋_GB2312"/>
          <w:sz w:val="32"/>
          <w:szCs w:val="32"/>
        </w:rPr>
        <w:t>推动高校院所科研力量与医疗器械企业产业化能力深度融合，</w:t>
      </w:r>
      <w:r>
        <w:rPr>
          <w:rFonts w:hint="eastAsia" w:ascii="仿宋_GB2312" w:hAnsi="仿宋_GB2312" w:eastAsia="仿宋_GB2312" w:cs="仿宋_GB2312"/>
          <w:sz w:val="32"/>
          <w:szCs w:val="32"/>
          <w:lang w:eastAsia="zh-CN"/>
        </w:rPr>
        <w:t>符合条件的</w:t>
      </w:r>
      <w:r>
        <w:rPr>
          <w:rFonts w:hint="eastAsia" w:ascii="仿宋_GB2312" w:hAnsi="仿宋_GB2312" w:eastAsia="仿宋_GB2312" w:cs="仿宋_GB2312"/>
          <w:sz w:val="32"/>
          <w:szCs w:val="32"/>
        </w:rPr>
        <w:t>医工平台最高给予</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00万元补助。</w:t>
      </w:r>
    </w:p>
    <w:p>
      <w:pPr>
        <w:pStyle w:val="2"/>
        <w:ind w:firstLine="640" w:firstLineChars="200"/>
        <w:rPr>
          <w:rFonts w:hint="eastAsia" w:ascii="仿宋_GB2312" w:hAnsi="Calibri" w:eastAsia="仿宋_GB2312" w:cs="Times New Roman"/>
          <w:color w:val="auto"/>
          <w:kern w:val="2"/>
          <w:sz w:val="32"/>
          <w:szCs w:val="32"/>
          <w:lang w:val="en-US" w:eastAsia="zh-CN" w:bidi="ar-SA"/>
        </w:rPr>
      </w:pPr>
      <w:r>
        <w:rPr>
          <w:rFonts w:hint="eastAsia" w:ascii="仿宋_GB2312" w:hAnsi="Calibri" w:eastAsia="仿宋_GB2312" w:cs="Times New Roman"/>
          <w:color w:val="auto"/>
          <w:kern w:val="2"/>
          <w:sz w:val="32"/>
          <w:szCs w:val="32"/>
          <w:lang w:val="en-US" w:eastAsia="zh-CN" w:bidi="ar-SA"/>
        </w:rPr>
        <w:t>申报单位和条件：在长春市发展运营的医药健康企业，需具备以下条件：（1）具备承担长春市医工平台日常运营管理的能力；（2）具备与医工转化服务相适应的场地设施和仪器设备条件，能够为平台项目提供市场分析、商业化支持等服务；（3）拥有与医工平台运营相匹配的资金保障能力；（4）拥有稳定的医工交叉复合型团队，负责人应具备较强的医工融合服务经验；（5）拥有持续稳定的医工转化项目来源，可向社会提供开放式的医工转化服务。</w:t>
      </w:r>
    </w:p>
    <w:p>
      <w:pPr>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kern w:val="2"/>
          <w:sz w:val="32"/>
          <w:szCs w:val="32"/>
          <w:lang w:val="en-US" w:eastAsia="zh-CN" w:bidi="ar-SA"/>
        </w:rPr>
        <w:t>申报材料：（1）长春市医工转化平台补助申报表；（2）长春市医工转化平台</w:t>
      </w:r>
      <w:r>
        <w:rPr>
          <w:rFonts w:hint="eastAsia" w:ascii="仿宋_GB2312" w:hAnsi="Calibri" w:eastAsia="仿宋_GB2312" w:cs="Times New Roman"/>
          <w:color w:val="auto"/>
          <w:sz w:val="32"/>
          <w:szCs w:val="32"/>
        </w:rPr>
        <w:t>建设和工作开展情况相关材料。主要包括：</w:t>
      </w:r>
      <w:r>
        <w:rPr>
          <w:rFonts w:hint="eastAsia" w:ascii="仿宋_GB2312" w:eastAsia="仿宋_GB2312" w:cs="Times New Roman"/>
          <w:color w:val="auto"/>
          <w:sz w:val="32"/>
          <w:szCs w:val="32"/>
          <w:lang w:eastAsia="zh-CN"/>
        </w:rPr>
        <w:t>平台场地建设情况</w:t>
      </w:r>
      <w:r>
        <w:rPr>
          <w:rFonts w:hint="eastAsia" w:ascii="仿宋_GB2312" w:hAnsi="Calibri" w:eastAsia="仿宋_GB2312" w:cs="Times New Roman"/>
          <w:color w:val="auto"/>
          <w:sz w:val="32"/>
          <w:szCs w:val="32"/>
        </w:rPr>
        <w:t>、管理制度</w:t>
      </w:r>
      <w:r>
        <w:rPr>
          <w:rFonts w:hint="eastAsia" w:ascii="仿宋_GB2312" w:eastAsia="仿宋_GB2312" w:cs="Times New Roman"/>
          <w:color w:val="auto"/>
          <w:sz w:val="32"/>
          <w:szCs w:val="32"/>
          <w:lang w:eastAsia="zh-CN"/>
        </w:rPr>
        <w:t>情况</w:t>
      </w:r>
      <w:r>
        <w:rPr>
          <w:rFonts w:hint="eastAsia" w:ascii="仿宋_GB2312" w:hAnsi="Calibri" w:eastAsia="仿宋_GB2312" w:cs="Times New Roman"/>
          <w:color w:val="auto"/>
          <w:sz w:val="32"/>
          <w:szCs w:val="32"/>
        </w:rPr>
        <w:t>、</w:t>
      </w:r>
      <w:r>
        <w:rPr>
          <w:rFonts w:hint="eastAsia" w:ascii="仿宋_GB2312" w:eastAsia="仿宋_GB2312" w:cs="Times New Roman"/>
          <w:color w:val="auto"/>
          <w:sz w:val="32"/>
          <w:szCs w:val="32"/>
          <w:lang w:eastAsia="zh-CN"/>
        </w:rPr>
        <w:t>核心团队情况、资源数据库情况、运营服务情况、项目全周期跟踪情况、</w:t>
      </w:r>
      <w:r>
        <w:rPr>
          <w:rFonts w:hint="eastAsia" w:ascii="仿宋_GB2312" w:hAnsi="Calibri" w:eastAsia="仿宋_GB2312" w:cs="Times New Roman"/>
          <w:color w:val="auto"/>
          <w:sz w:val="32"/>
          <w:szCs w:val="32"/>
        </w:rPr>
        <w:t>线上</w:t>
      </w:r>
      <w:r>
        <w:rPr>
          <w:rFonts w:hint="eastAsia" w:ascii="仿宋_GB2312" w:eastAsia="仿宋_GB2312" w:cs="Times New Roman"/>
          <w:color w:val="auto"/>
          <w:sz w:val="32"/>
          <w:szCs w:val="32"/>
          <w:lang w:eastAsia="zh-CN"/>
        </w:rPr>
        <w:t>线下</w:t>
      </w:r>
      <w:r>
        <w:rPr>
          <w:rFonts w:hint="eastAsia" w:ascii="仿宋_GB2312" w:hAnsi="Calibri" w:eastAsia="仿宋_GB2312" w:cs="Times New Roman"/>
          <w:color w:val="auto"/>
          <w:sz w:val="32"/>
          <w:szCs w:val="32"/>
        </w:rPr>
        <w:t>活动情况</w:t>
      </w:r>
      <w:r>
        <w:rPr>
          <w:rFonts w:hint="eastAsia" w:ascii="仿宋_GB2312" w:eastAsia="仿宋_GB2312" w:cs="Times New Roman"/>
          <w:color w:val="auto"/>
          <w:sz w:val="32"/>
          <w:szCs w:val="32"/>
          <w:lang w:eastAsia="zh-CN"/>
        </w:rPr>
        <w:t>、</w:t>
      </w:r>
      <w:r>
        <w:rPr>
          <w:rFonts w:hint="eastAsia" w:ascii="仿宋_GB2312" w:hAnsi="Calibri" w:eastAsia="仿宋_GB2312" w:cs="Times New Roman"/>
          <w:color w:val="auto"/>
          <w:sz w:val="32"/>
          <w:szCs w:val="32"/>
        </w:rPr>
        <w:t>开展</w:t>
      </w:r>
      <w:r>
        <w:rPr>
          <w:rFonts w:hint="eastAsia" w:ascii="仿宋_GB2312" w:eastAsia="仿宋_GB2312" w:cs="Times New Roman"/>
          <w:color w:val="auto"/>
          <w:sz w:val="32"/>
          <w:szCs w:val="32"/>
          <w:lang w:eastAsia="zh-CN"/>
        </w:rPr>
        <w:t>产学医</w:t>
      </w:r>
      <w:r>
        <w:rPr>
          <w:rFonts w:hint="eastAsia" w:ascii="仿宋_GB2312" w:hAnsi="Calibri" w:eastAsia="仿宋_GB2312" w:cs="Times New Roman"/>
          <w:color w:val="auto"/>
          <w:sz w:val="32"/>
          <w:szCs w:val="32"/>
        </w:rPr>
        <w:t>服务情况等与申报项目有关的材料。</w:t>
      </w:r>
    </w:p>
    <w:p>
      <w:pPr>
        <w:ind w:firstLine="640" w:firstLineChars="200"/>
        <w:rPr>
          <w:rFonts w:hint="eastAsia"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实施流程：发布指南、项目申报、项目推荐、形式审查、评审论证、立项实施。</w:t>
      </w:r>
    </w:p>
    <w:p>
      <w:pPr>
        <w:ind w:firstLine="640" w:firstLineChars="200"/>
        <w:rPr>
          <w:rFonts w:ascii="仿宋_GB2312" w:hAnsi="Calibri" w:eastAsia="仿宋_GB2312" w:cs="Times New Roman"/>
          <w:color w:val="auto"/>
          <w:sz w:val="32"/>
          <w:szCs w:val="32"/>
        </w:rPr>
      </w:pPr>
      <w:r>
        <w:rPr>
          <w:rFonts w:hint="eastAsia" w:ascii="仿宋_GB2312" w:hAnsi="Calibri" w:eastAsia="仿宋_GB2312" w:cs="Times New Roman"/>
          <w:color w:val="auto"/>
          <w:sz w:val="32"/>
          <w:szCs w:val="32"/>
        </w:rPr>
        <w:t>执行单位：市科技局农村和社会发展科技处，电话：88777271。</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bookmarkStart w:id="0" w:name="_GoBack"/>
      <w:bookmarkEnd w:id="0"/>
      <w:r>
        <w:rPr>
          <w:rFonts w:hint="eastAsia" w:ascii="黑体" w:hAnsi="黑体" w:eastAsia="黑体" w:cs="黑体"/>
          <w:b w:val="0"/>
          <w:bCs w:val="0"/>
          <w:kern w:val="2"/>
          <w:sz w:val="32"/>
          <w:szCs w:val="32"/>
          <w:lang w:val="en-US" w:eastAsia="zh-CN" w:bidi="ar-SA"/>
        </w:rPr>
        <w:t>第十二条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lang w:eastAsia="zh-CN"/>
        </w:rPr>
        <w:t>支持</w:t>
      </w:r>
      <w:r>
        <w:rPr>
          <w:rFonts w:hint="eastAsia" w:ascii="仿宋_GB2312" w:hAnsi="仿宋_GB2312" w:eastAsia="仿宋_GB2312" w:cs="仿宋_GB2312"/>
          <w:sz w:val="32"/>
          <w:szCs w:val="32"/>
        </w:rPr>
        <w:t>高校院所、企业</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建设概念验证中心</w:t>
      </w:r>
      <w:r>
        <w:rPr>
          <w:rFonts w:hint="eastAsia" w:ascii="仿宋_GB2312" w:hAnsi="仿宋_GB2312" w:eastAsia="仿宋_GB2312" w:cs="仿宋_GB2312"/>
          <w:sz w:val="32"/>
          <w:szCs w:val="32"/>
          <w:lang w:eastAsia="zh-CN"/>
        </w:rPr>
        <w:t>、中试基地，符合条件的分别</w:t>
      </w:r>
      <w:r>
        <w:rPr>
          <w:rFonts w:hint="eastAsia" w:ascii="仿宋_GB2312" w:hAnsi="仿宋_GB2312" w:eastAsia="仿宋_GB2312" w:cs="仿宋_GB2312"/>
          <w:sz w:val="32"/>
          <w:szCs w:val="32"/>
        </w:rPr>
        <w:t>最高给予200万元补助。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（一）</w:t>
      </w:r>
      <w:r>
        <w:rPr>
          <w:rFonts w:hint="eastAsia" w:ascii="方正楷体_GBK" w:hAnsi="方正楷体_GBK" w:eastAsia="方正楷体_GBK" w:cs="方正楷体_GBK"/>
          <w:sz w:val="32"/>
          <w:szCs w:val="32"/>
        </w:rPr>
        <w:t>概念验证中心</w:t>
      </w:r>
      <w:r>
        <w:rPr>
          <w:rFonts w:hint="eastAsia" w:ascii="方正楷体_GBK" w:hAnsi="方正楷体_GBK" w:eastAsia="方正楷体_GBK" w:cs="方正楷体_GBK"/>
          <w:sz w:val="32"/>
          <w:szCs w:val="32"/>
          <w:lang w:eastAsia="zh-CN"/>
        </w:rPr>
        <w:t>。</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highlight w:val="none"/>
          <w:lang w:val="en-US" w:eastAsia="zh-CN" w:bidi="ar-SA"/>
        </w:rPr>
      </w:pPr>
      <w:r>
        <w:rPr>
          <w:rFonts w:hint="eastAsia" w:ascii="仿宋_GB2312" w:hAnsi="Calibri" w:eastAsia="仿宋_GB2312" w:cs="Times New Roman"/>
          <w:b w:val="0"/>
          <w:bCs w:val="0"/>
          <w:kern w:val="2"/>
          <w:sz w:val="32"/>
          <w:szCs w:val="32"/>
          <w:lang w:val="en-US" w:eastAsia="zh-CN" w:bidi="ar-SA"/>
        </w:rPr>
        <w:t>申报单位和条件：实际运行一年（含）以上的</w:t>
      </w:r>
      <w:r>
        <w:rPr>
          <w:rFonts w:hint="eastAsia" w:ascii="仿宋_GB2312" w:hAnsi="Calibri" w:eastAsia="仿宋_GB2312" w:cs="Times New Roman"/>
          <w:b w:val="0"/>
          <w:bCs w:val="0"/>
          <w:kern w:val="2"/>
          <w:sz w:val="32"/>
          <w:szCs w:val="32"/>
          <w:highlight w:val="none"/>
          <w:lang w:val="en-US" w:eastAsia="zh-CN" w:bidi="ar-SA"/>
        </w:rPr>
        <w:t>概念验证中心。</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highlight w:val="none"/>
          <w:lang w:val="en-US" w:eastAsia="zh-CN" w:bidi="ar-SA"/>
        </w:rPr>
        <w:t>申报材料：（1）长春市概念验证中心后补助项目申报书；（2）开展概念验证服务项目清单；（3）本单位概念验证遴选资助项目清单；（4）</w:t>
      </w:r>
      <w:r>
        <w:rPr>
          <w:rFonts w:hint="eastAsia" w:ascii="仿宋_GB2312" w:hAnsi="Calibri" w:eastAsia="仿宋_GB2312" w:cs="Times New Roman"/>
          <w:b w:val="0"/>
          <w:bCs w:val="0"/>
          <w:kern w:val="2"/>
          <w:sz w:val="32"/>
          <w:szCs w:val="32"/>
          <w:lang w:val="en-US" w:eastAsia="zh-CN" w:bidi="ar-SA"/>
        </w:rPr>
        <w:t>推进科技成果转化落地项目清单；（5）相关技术合同（协议）复印件。</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（二）中试基地。</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申报单位和条件：实际运行一年（含）以上的科技成果转化中试基地，按照年度绩效评价结果给予后补助。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w:t>
      </w:r>
      <w:r>
        <w:rPr>
          <w:rFonts w:hint="eastAsia" w:ascii="仿宋_GB2312" w:hAnsi="Calibri" w:eastAsia="仿宋_GB2312" w:cs="Times New Roman"/>
          <w:b w:val="0"/>
          <w:bCs w:val="0"/>
          <w:kern w:val="2"/>
          <w:sz w:val="32"/>
          <w:szCs w:val="32"/>
          <w:highlight w:val="none"/>
          <w:lang w:val="en-US" w:eastAsia="zh-CN" w:bidi="ar-SA"/>
        </w:rPr>
        <w:t>：（1）长春市科技成果转化中试基地后补助申报书；（2）中试基地营业执照复印件（组织机构代码证、事业单位法人证书</w:t>
      </w:r>
      <w:r>
        <w:rPr>
          <w:rFonts w:hint="eastAsia" w:ascii="仿宋_GB2312" w:hAnsi="Calibri" w:eastAsia="仿宋_GB2312" w:cs="Times New Roman"/>
          <w:b w:val="0"/>
          <w:bCs w:val="0"/>
          <w:kern w:val="2"/>
          <w:sz w:val="32"/>
          <w:szCs w:val="32"/>
          <w:lang w:val="en-US" w:eastAsia="zh-CN" w:bidi="ar-SA"/>
        </w:rPr>
        <w:t>）、申报年度财务审计报告复印件并在首页加盖公章；（3）中试基地负责人和团队成员学历、职称证明、身份证复印件以及在职证明；（4）内部管理规章制度（含保护产品知识产权和商业秘密的相关措施及制度）；（5）中试基地始建初所在地生态环境、应急管理等部门认可的安评、环评报告，或符合国家和我省安全、环保要求的有效材料；（6）中试基地专用设备清单采购发票、记账凭证、银行回单等；（7）对外中试服务项目收入到账证明材料，包括每项对外中试的服务合同及对应的发票、记账凭证、银行回单等；（8）中试基地运营情况自评报告。</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第十三条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对</w:t>
      </w:r>
      <w:r>
        <w:rPr>
          <w:rFonts w:hint="eastAsia" w:ascii="仿宋_GB2312" w:hAnsi="仿宋_GB2312" w:eastAsia="仿宋_GB2312" w:cs="仿宋_GB2312"/>
          <w:sz w:val="32"/>
          <w:szCs w:val="32"/>
          <w:lang w:eastAsia="zh-CN"/>
        </w:rPr>
        <w:t>高校院所</w:t>
      </w:r>
      <w:r>
        <w:rPr>
          <w:rFonts w:hint="eastAsia" w:ascii="仿宋_GB2312" w:hAnsi="仿宋_GB2312" w:eastAsia="仿宋_GB2312" w:cs="仿宋_GB2312"/>
          <w:sz w:val="32"/>
          <w:szCs w:val="32"/>
        </w:rPr>
        <w:t>遴选实施</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概念验证项目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科技成果中试放大项目</w:t>
      </w:r>
      <w:r>
        <w:rPr>
          <w:rFonts w:hint="eastAsia" w:ascii="仿宋_GB2312" w:hAnsi="仿宋_GB2312" w:eastAsia="仿宋_GB2312" w:cs="仿宋_GB2312"/>
          <w:sz w:val="32"/>
          <w:szCs w:val="32"/>
          <w:lang w:eastAsia="zh-CN"/>
        </w:rPr>
        <w:t>，符合条件的分别</w:t>
      </w:r>
      <w:r>
        <w:rPr>
          <w:rFonts w:hint="eastAsia" w:ascii="仿宋_GB2312" w:hAnsi="仿宋_GB2312" w:eastAsia="仿宋_GB2312" w:cs="仿宋_GB2312"/>
          <w:sz w:val="32"/>
          <w:szCs w:val="32"/>
        </w:rPr>
        <w:t>最高给予50万元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200万元补助。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（一）概念验证项目。</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1）具有培育孵化转化价值的项目；（2）项目实施后有产业化前景，项目产品附加值高，市场容量大，能显著提升相关产业技术水平和核心竞争力，预期经济效益和社会效益显著；（3）项目负责人为申报单位正式职工且在项目执行期内为在职人员。</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长春市概念验证项目申报书；（2）反映项目技术先进性、成熟度的相关证明材料、专利证书等；（3）项目负责人身份证、学历或职称复印件、与所在单位签订的全职工作合同或社保缴费材料以及项目负责人科研能力、业绩等与申报项目有关的材料。</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（二）科技成果中试放大项目。</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1）具有重大培育孵化转化价值的项目；（2）项目实施后能够进行产业化，项目产品附加值高，市场容量大，能显著提升相关产业技术水平和核心竞争力，预期经济效益和社会效益显著；（3）项目负责人为申报单位正式职工且在项目执行期内为在职人员。</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长春市中试遴选项目申报书；（2）项目技术状况、学术价值或社会影响等与申报项目相关的材料（获奖证书、科技成果鉴定证书、样品或样品检测报告、专利证书、商业计划书、企业合作意向协议等）；（3）项目负责人身份证、学历或职称复印件、与所在单位签订的全职工作合同或社保缴费材料以及项目负责人科研能力、业绩等与申报项目有关的材料。</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第十四条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支持科技型企业孵化器提档升级，对</w:t>
      </w:r>
      <w:r>
        <w:rPr>
          <w:rFonts w:hint="eastAsia" w:ascii="仿宋_GB2312" w:hAnsi="仿宋_GB2312" w:eastAsia="仿宋_GB2312" w:cs="仿宋_GB2312"/>
          <w:sz w:val="32"/>
          <w:szCs w:val="32"/>
          <w:lang w:eastAsia="zh-CN"/>
        </w:rPr>
        <w:t>符合条件的</w:t>
      </w:r>
      <w:r>
        <w:rPr>
          <w:rFonts w:hint="eastAsia" w:ascii="仿宋_GB2312" w:hAnsi="仿宋_GB2312" w:eastAsia="仿宋_GB2312" w:cs="仿宋_GB2312"/>
          <w:sz w:val="32"/>
          <w:szCs w:val="32"/>
        </w:rPr>
        <w:t>科技型企业孵化器最高给予100万元</w:t>
      </w:r>
      <w:r>
        <w:rPr>
          <w:rFonts w:hint="eastAsia" w:ascii="仿宋_GB2312" w:hAnsi="仿宋_GB2312" w:eastAsia="仿宋_GB2312" w:cs="仿宋_GB2312"/>
          <w:sz w:val="32"/>
          <w:szCs w:val="32"/>
          <w:lang w:eastAsia="zh-CN"/>
        </w:rPr>
        <w:t>补助</w:t>
      </w:r>
      <w:r>
        <w:rPr>
          <w:rFonts w:hint="eastAsia" w:ascii="仿宋_GB2312" w:hAnsi="仿宋_GB2312" w:eastAsia="仿宋_GB2312" w:cs="仿宋_GB2312"/>
          <w:sz w:val="32"/>
          <w:szCs w:val="32"/>
        </w:rPr>
        <w:t>。</w:t>
      </w:r>
    </w:p>
    <w:p>
      <w:pPr>
        <w:pStyle w:val="2"/>
        <w:keepNext w:val="0"/>
        <w:keepLines w:val="0"/>
        <w:pageBreakBefore w:val="0"/>
        <w:widowControl w:val="0"/>
        <w:kinsoku/>
        <w:wordWrap/>
        <w:overflowPunct/>
        <w:topLinePunct w:val="0"/>
        <w:bidi w:val="0"/>
        <w:snapToGrid/>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 xml:space="preserve">    申报单位和条件：对服务能力突出、孵化绩效显著、具备可持续发展前景的科技型企业孵化器（加速器）。</w:t>
      </w:r>
    </w:p>
    <w:p>
      <w:pPr>
        <w:pStyle w:val="2"/>
        <w:keepNext w:val="0"/>
        <w:keepLines w:val="0"/>
        <w:pageBreakBefore w:val="0"/>
        <w:widowControl w:val="0"/>
        <w:kinsoku/>
        <w:wordWrap/>
        <w:overflowPunct/>
        <w:topLinePunct w:val="0"/>
        <w:bidi w:val="0"/>
        <w:snapToGrid/>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申报材料：（1）申报书；（2）基础、创业、技术、投融资、市场、管理等服务能力相关材料；（3）在孵企业、毕业企业等孵化绩效相关材料；（4）收入结构、管理能力等相关材料。</w:t>
      </w:r>
    </w:p>
    <w:p>
      <w:pPr>
        <w:pStyle w:val="2"/>
        <w:keepNext w:val="0"/>
        <w:keepLines w:val="0"/>
        <w:pageBreakBefore w:val="0"/>
        <w:widowControl w:val="0"/>
        <w:kinsoku/>
        <w:wordWrap/>
        <w:overflowPunct/>
        <w:topLinePunct w:val="0"/>
        <w:bidi w:val="0"/>
        <w:snapToGrid/>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实施流程：发布指南、项目申报、项目推荐、形式审查、评审论证、立项实施。</w:t>
      </w:r>
    </w:p>
    <w:p>
      <w:pPr>
        <w:pStyle w:val="2"/>
        <w:keepNext w:val="0"/>
        <w:keepLines w:val="0"/>
        <w:pageBreakBefore w:val="0"/>
        <w:widowControl w:val="0"/>
        <w:kinsoku/>
        <w:wordWrap/>
        <w:overflowPunct/>
        <w:topLinePunct w:val="0"/>
        <w:bidi w:val="0"/>
        <w:snapToGrid/>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 xml:space="preserve">    执行单位：市科技局科技企业发展处，电话：88777285。</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第十五条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lang w:eastAsia="zh-CN"/>
        </w:rPr>
        <w:t>鼓励</w:t>
      </w:r>
      <w:r>
        <w:rPr>
          <w:rFonts w:hint="eastAsia" w:ascii="仿宋_GB2312" w:hAnsi="仿宋_GB2312" w:eastAsia="仿宋_GB2312" w:cs="仿宋_GB2312"/>
          <w:sz w:val="32"/>
          <w:szCs w:val="32"/>
        </w:rPr>
        <w:t>市和区、县（市）统筹国有产业园区资源，为符合条件的</w:t>
      </w:r>
      <w:r>
        <w:rPr>
          <w:rFonts w:hint="eastAsia" w:ascii="仿宋_GB2312" w:hAnsi="仿宋_GB2312" w:eastAsia="仿宋_GB2312" w:cs="仿宋_GB2312"/>
          <w:sz w:val="32"/>
          <w:szCs w:val="32"/>
          <w:lang w:eastAsia="zh-CN"/>
        </w:rPr>
        <w:t>优质产业化落地项目</w:t>
      </w:r>
      <w:r>
        <w:rPr>
          <w:rFonts w:hint="eastAsia" w:ascii="仿宋_GB2312" w:hAnsi="仿宋_GB2312" w:eastAsia="仿宋_GB2312" w:cs="仿宋_GB2312"/>
          <w:sz w:val="32"/>
          <w:szCs w:val="32"/>
        </w:rPr>
        <w:t>提供租金</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优惠</w:t>
      </w:r>
      <w:r>
        <w:rPr>
          <w:rFonts w:hint="eastAsia" w:ascii="仿宋_GB2312" w:hAnsi="仿宋_GB2312" w:eastAsia="仿宋_GB2312" w:cs="仿宋_GB2312"/>
          <w:sz w:val="32"/>
          <w:szCs w:val="32"/>
          <w:lang w:eastAsia="zh-CN"/>
        </w:rPr>
        <w:t>政策</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实施路径：各县（市）、区、开发区统筹盘活国有产业园区存量载体资源，可对符合要求的小微初创企业，按照相关条件和流程给予租金、物业等方面优惠政策。</w:t>
      </w:r>
    </w:p>
    <w:p>
      <w:pPr>
        <w:keepNext w:val="0"/>
        <w:keepLines w:val="0"/>
        <w:pageBreakBefore w:val="0"/>
        <w:widowControl w:val="0"/>
        <w:kinsoku/>
        <w:wordWrap/>
        <w:overflowPunct/>
        <w:topLinePunct w:val="0"/>
        <w:bidi w:val="0"/>
        <w:snapToGrid/>
        <w:spacing w:line="240" w:lineRule="auto"/>
        <w:ind w:firstLine="64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责任单位：市国资委，</w:t>
      </w:r>
      <w:r>
        <w:rPr>
          <w:rFonts w:hint="eastAsia" w:ascii="仿宋_GB2312" w:hAnsi="仿宋_GB2312" w:eastAsia="仿宋_GB2312" w:cs="仿宋_GB2312"/>
          <w:sz w:val="32"/>
          <w:szCs w:val="32"/>
        </w:rPr>
        <w:t>各县（市）区、开发区</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default" w:ascii="黑体" w:hAnsi="黑体" w:eastAsia="黑体" w:cs="黑体"/>
          <w:b w:val="0"/>
          <w:bCs w:val="0"/>
          <w:kern w:val="2"/>
          <w:sz w:val="32"/>
          <w:szCs w:val="32"/>
          <w:lang w:val="en-US" w:eastAsia="zh-CN" w:bidi="ar-SA"/>
        </w:rPr>
        <w:t>第十</w:t>
      </w:r>
      <w:r>
        <w:rPr>
          <w:rFonts w:hint="eastAsia" w:ascii="黑体" w:hAnsi="黑体" w:eastAsia="黑体" w:cs="黑体"/>
          <w:b w:val="0"/>
          <w:bCs w:val="0"/>
          <w:kern w:val="2"/>
          <w:sz w:val="32"/>
          <w:szCs w:val="32"/>
          <w:lang w:val="en-US" w:eastAsia="zh-CN" w:bidi="ar-SA"/>
        </w:rPr>
        <w:t>六</w:t>
      </w:r>
      <w:r>
        <w:rPr>
          <w:rFonts w:hint="default" w:ascii="黑体" w:hAnsi="黑体" w:eastAsia="黑体" w:cs="黑体"/>
          <w:b w:val="0"/>
          <w:bCs w:val="0"/>
          <w:kern w:val="2"/>
          <w:sz w:val="32"/>
          <w:szCs w:val="32"/>
          <w:lang w:val="en-US" w:eastAsia="zh-CN" w:bidi="ar-SA"/>
        </w:rPr>
        <w:t>条</w:t>
      </w:r>
      <w:r>
        <w:rPr>
          <w:rFonts w:hint="default"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支持企业加大研发投入，根据企业研发费用增量最高给予100万元</w:t>
      </w:r>
      <w:r>
        <w:rPr>
          <w:rFonts w:hint="eastAsia" w:ascii="仿宋_GB2312" w:hAnsi="仿宋_GB2312" w:eastAsia="仿宋_GB2312" w:cs="仿宋_GB2312"/>
          <w:sz w:val="32"/>
          <w:szCs w:val="32"/>
          <w:lang w:eastAsia="zh-CN"/>
        </w:rPr>
        <w:t>补助</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申报单位和条件：近两个年度研发费用增长的企业。</w:t>
      </w:r>
    </w:p>
    <w:p>
      <w:pPr>
        <w:pStyle w:val="2"/>
        <w:keepNext w:val="0"/>
        <w:keepLines w:val="0"/>
        <w:pageBreakBefore w:val="0"/>
        <w:widowControl w:val="0"/>
        <w:kinsoku/>
        <w:wordWrap/>
        <w:overflowPunct/>
        <w:topLinePunct w:val="0"/>
        <w:bidi w:val="0"/>
        <w:snapToGrid/>
        <w:ind w:firstLine="640" w:firstLineChars="200"/>
        <w:textAlignment w:val="auto"/>
        <w:rPr>
          <w:rFonts w:hint="eastAsia"/>
          <w:lang w:val="en-US" w:eastAsia="zh-CN"/>
        </w:rPr>
      </w:pPr>
      <w:r>
        <w:rPr>
          <w:rFonts w:hint="eastAsia" w:ascii="仿宋_GB2312" w:hAnsi="Calibri" w:eastAsia="仿宋_GB2312" w:cs="Times New Roman"/>
          <w:b w:val="0"/>
          <w:bCs w:val="0"/>
          <w:kern w:val="2"/>
          <w:sz w:val="32"/>
          <w:szCs w:val="32"/>
          <w:lang w:val="en-US" w:eastAsia="zh-CN" w:bidi="ar-SA"/>
        </w:rPr>
        <w:t>申报材料：按申报通知提供相关材料。</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实施流程：数据收集、</w:t>
      </w:r>
      <w:r>
        <w:rPr>
          <w:rFonts w:hint="eastAsia" w:ascii="仿宋_GB2312" w:hAnsi="Calibri" w:eastAsia="仿宋_GB2312" w:cs="Times New Roman"/>
          <w:b w:val="0"/>
          <w:bCs w:val="0"/>
          <w:color w:val="auto"/>
          <w:kern w:val="2"/>
          <w:sz w:val="32"/>
          <w:szCs w:val="32"/>
          <w:lang w:val="en-US" w:eastAsia="zh-CN" w:bidi="ar-SA"/>
        </w:rPr>
        <w:t>形式审查、评审论证、公示公告、立项实施。</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执行单位：市科技局科技企业发展处，电话：88777285。</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第十七条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lang w:val="en-US" w:eastAsia="zh-CN"/>
        </w:rPr>
        <w:t>发挥财政资金引导作用，</w:t>
      </w:r>
      <w:r>
        <w:rPr>
          <w:rFonts w:hint="eastAsia" w:ascii="仿宋_GB2312" w:hAnsi="仿宋_GB2312" w:eastAsia="仿宋_GB2312" w:cs="仿宋_GB2312"/>
          <w:sz w:val="32"/>
          <w:szCs w:val="32"/>
        </w:rPr>
        <w:t>强化长兴基金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长春未来种子基金</w:t>
      </w:r>
      <w:r>
        <w:rPr>
          <w:rFonts w:hint="eastAsia" w:ascii="仿宋_GB2312" w:hAnsi="仿宋_GB2312" w:eastAsia="仿宋_GB2312" w:cs="仿宋_GB2312"/>
          <w:sz w:val="32"/>
          <w:szCs w:val="32"/>
          <w:lang w:eastAsia="zh-CN"/>
        </w:rPr>
        <w:t>和成果转化基金</w:t>
      </w:r>
      <w:r>
        <w:rPr>
          <w:rFonts w:hint="eastAsia" w:ascii="仿宋_GB2312" w:hAnsi="仿宋_GB2312" w:eastAsia="仿宋_GB2312" w:cs="仿宋_GB2312"/>
          <w:sz w:val="32"/>
          <w:szCs w:val="32"/>
        </w:rPr>
        <w:t>科技投资功能，</w:t>
      </w:r>
      <w:r>
        <w:rPr>
          <w:rFonts w:hint="eastAsia" w:ascii="仿宋_GB2312" w:hAnsi="仿宋_GB2312" w:eastAsia="仿宋_GB2312" w:cs="仿宋_GB2312"/>
          <w:sz w:val="32"/>
          <w:szCs w:val="32"/>
          <w:lang w:eastAsia="zh-CN"/>
        </w:rPr>
        <w:t>成果转化基金容错率</w:t>
      </w:r>
      <w:r>
        <w:rPr>
          <w:rFonts w:hint="eastAsia" w:ascii="仿宋_GB2312" w:hAnsi="仿宋_GB2312" w:eastAsia="仿宋_GB2312" w:cs="仿宋_GB2312"/>
          <w:sz w:val="32"/>
          <w:szCs w:val="32"/>
          <w:lang w:val="en-US" w:eastAsia="zh-CN"/>
        </w:rPr>
        <w:t>80%，</w:t>
      </w:r>
      <w:r>
        <w:rPr>
          <w:rFonts w:hint="eastAsia" w:ascii="仿宋_GB2312" w:hAnsi="仿宋_GB2312" w:eastAsia="仿宋_GB2312" w:cs="仿宋_GB2312"/>
          <w:sz w:val="32"/>
          <w:szCs w:val="32"/>
        </w:rPr>
        <w:t>种子基金容错率50%，鼓励投早、投小、投科技，为企业提供优质专业的投后服务。</w:t>
      </w:r>
    </w:p>
    <w:p>
      <w:pPr>
        <w:keepNext w:val="0"/>
        <w:keepLines w:val="0"/>
        <w:pageBreakBefore w:val="0"/>
        <w:widowControl w:val="0"/>
        <w:kinsoku/>
        <w:wordWrap/>
        <w:overflowPunct/>
        <w:topLinePunct w:val="0"/>
        <w:bidi w:val="0"/>
        <w:snapToGrid/>
        <w:spacing w:line="240" w:lineRule="auto"/>
        <w:ind w:firstLine="64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eastAsia="仿宋_GB2312" w:cs="Times New Roman"/>
          <w:b w:val="0"/>
          <w:bCs w:val="0"/>
          <w:kern w:val="2"/>
          <w:sz w:val="32"/>
          <w:szCs w:val="32"/>
          <w:lang w:val="en-US" w:eastAsia="zh-CN" w:bidi="ar-SA"/>
        </w:rPr>
        <w:t>实施路径：（1）由长春未来科技创新集团牵头设立长春未来种子基金和成果转化基金。（2）</w:t>
      </w:r>
      <w:r>
        <w:rPr>
          <w:rFonts w:hint="eastAsia" w:ascii="仿宋_GB2312" w:hAnsi="仿宋_GB2312" w:eastAsia="仿宋_GB2312" w:cs="仿宋_GB2312"/>
          <w:sz w:val="32"/>
          <w:szCs w:val="32"/>
          <w:lang w:val="en-US" w:eastAsia="zh-CN"/>
        </w:rPr>
        <w:t>及时跟踪掌握已投项目运营情况，为已投项目提供对接市场资源、人才引进、后续融资等投后赋能服务。</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eastAsia="仿宋_GB2312" w:cs="Times New Roman"/>
          <w:b w:val="0"/>
          <w:bCs w:val="0"/>
          <w:kern w:val="2"/>
          <w:sz w:val="32"/>
          <w:szCs w:val="32"/>
          <w:lang w:val="en-US" w:eastAsia="zh-CN" w:bidi="ar-SA"/>
        </w:rPr>
        <w:t>责任单位：市科技局、市财政局、市国资委，各</w:t>
      </w:r>
      <w:r>
        <w:rPr>
          <w:rFonts w:hint="eastAsia" w:ascii="仿宋_GB2312" w:hAnsi="Calibri" w:eastAsia="仿宋_GB2312" w:cs="Times New Roman"/>
          <w:b w:val="0"/>
          <w:bCs w:val="0"/>
          <w:kern w:val="2"/>
          <w:sz w:val="32"/>
          <w:szCs w:val="32"/>
          <w:lang w:val="en-US" w:eastAsia="zh-CN" w:bidi="ar-SA"/>
        </w:rPr>
        <w:t>县〔市〕区、开发区。</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第十八条</w:t>
      </w:r>
      <w:r>
        <w:rPr>
          <w:rFonts w:hint="eastAsia" w:ascii="仿宋_GB2312" w:hAnsi="Calibri" w:eastAsia="仿宋_GB2312" w:cs="Times New Roman"/>
          <w:b w:val="0"/>
          <w:bCs w:val="0"/>
          <w:kern w:val="2"/>
          <w:sz w:val="32"/>
          <w:szCs w:val="32"/>
          <w:lang w:val="en-US" w:eastAsia="zh-CN" w:bidi="ar-SA"/>
        </w:rPr>
        <w:t xml:space="preserve">  </w:t>
      </w:r>
      <w:r>
        <w:rPr>
          <w:rFonts w:hint="eastAsia" w:ascii="仿宋_GB2312" w:hAnsi="仿宋_GB2312" w:eastAsia="仿宋_GB2312" w:cs="仿宋_GB2312"/>
          <w:sz w:val="32"/>
          <w:szCs w:val="32"/>
        </w:rPr>
        <w:t>对金融机构为科技企业提供信贷融资发生的损失，通过科技贷款风险补偿资金最高给予50万元补偿。</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支持方式：对向我市符合科技信贷申领条件科技企业提供信贷融资且发生贷款损失的合作金融机构，给予一定比例资金补助。</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仿宋_GB2312" w:eastAsia="仿宋_GB2312" w:cs="仿宋_GB2312"/>
          <w:b w:val="0"/>
          <w:bCs w:val="0"/>
          <w:kern w:val="2"/>
          <w:sz w:val="32"/>
          <w:szCs w:val="32"/>
          <w:highlight w:val="none"/>
          <w:lang w:val="en-US" w:eastAsia="zh-CN" w:bidi="ar-SA"/>
        </w:rPr>
      </w:pPr>
      <w:r>
        <w:rPr>
          <w:rFonts w:hint="eastAsia" w:ascii="仿宋_GB2312" w:hAnsi="仿宋_GB2312" w:eastAsia="仿宋_GB2312" w:cs="仿宋_GB2312"/>
          <w:b w:val="0"/>
          <w:bCs w:val="0"/>
          <w:kern w:val="2"/>
          <w:sz w:val="32"/>
          <w:szCs w:val="32"/>
          <w:highlight w:val="none"/>
          <w:lang w:val="en-US" w:eastAsia="zh-CN" w:bidi="ar-SA"/>
        </w:rPr>
        <w:t>实施流程：申请补偿、受理审核、拨付补偿金、贷款损失追偿和风险补偿核销。</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仿宋_GB2312" w:hAnsi="Calibri" w:eastAsia="仿宋_GB2312" w:cs="Times New Roman"/>
          <w:b w:val="0"/>
          <w:bCs w:val="0"/>
          <w:kern w:val="2"/>
          <w:sz w:val="32"/>
          <w:szCs w:val="32"/>
          <w:lang w:val="en-US" w:eastAsia="zh-CN" w:bidi="ar-SA"/>
        </w:rPr>
        <w:t>执行单位：市科技局科技成果转化促进处，电话：88777263。</w:t>
      </w:r>
    </w:p>
    <w:p>
      <w:pPr>
        <w:keepNext w:val="0"/>
        <w:keepLines w:val="0"/>
        <w:pageBreakBefore w:val="0"/>
        <w:widowControl w:val="0"/>
        <w:kinsoku/>
        <w:wordWrap/>
        <w:overflowPunct/>
        <w:topLinePunct w:val="0"/>
        <w:bidi w:val="0"/>
        <w:snapToGrid/>
        <w:spacing w:line="240" w:lineRule="auto"/>
        <w:ind w:firstLine="640" w:firstLineChars="200"/>
        <w:textAlignment w:val="auto"/>
        <w:rPr>
          <w:rFonts w:hint="eastAsia" w:ascii="仿宋_GB2312" w:hAnsi="Calibri" w:eastAsia="仿宋_GB2312" w:cs="Times New Roman"/>
          <w:b w:val="0"/>
          <w:bCs w:val="0"/>
          <w:kern w:val="2"/>
          <w:sz w:val="32"/>
          <w:szCs w:val="32"/>
          <w:lang w:val="en-US" w:eastAsia="zh-CN" w:bidi="ar-SA"/>
        </w:rPr>
      </w:pPr>
      <w:r>
        <w:rPr>
          <w:rFonts w:hint="eastAsia" w:ascii="黑体" w:hAnsi="黑体" w:eastAsia="黑体" w:cs="黑体"/>
          <w:b w:val="0"/>
          <w:bCs w:val="0"/>
          <w:kern w:val="2"/>
          <w:sz w:val="32"/>
          <w:szCs w:val="32"/>
          <w:lang w:val="en-US" w:eastAsia="zh-CN" w:bidi="ar-SA"/>
        </w:rPr>
        <w:t>第十九条</w:t>
      </w:r>
      <w:r>
        <w:rPr>
          <w:rFonts w:hint="eastAsia" w:ascii="仿宋_GB2312" w:hAnsi="Calibri" w:eastAsia="仿宋_GB2312" w:cs="Times New Roman"/>
          <w:b w:val="0"/>
          <w:bCs w:val="0"/>
          <w:kern w:val="2"/>
          <w:sz w:val="32"/>
          <w:szCs w:val="32"/>
          <w:lang w:val="en-US" w:eastAsia="zh-CN" w:bidi="ar-SA"/>
        </w:rPr>
        <w:t xml:space="preserve">  本细则自</w:t>
      </w:r>
      <w:r>
        <w:rPr>
          <w:rFonts w:hint="eastAsia" w:ascii="仿宋_GB2312" w:hAnsi="仿宋_GB2312" w:eastAsia="仿宋_GB2312" w:cs="仿宋_GB2312"/>
          <w:sz w:val="32"/>
          <w:szCs w:val="32"/>
          <w:lang w:val="en-US" w:eastAsia="zh-CN"/>
        </w:rPr>
        <w:t>2027年1月1</w:t>
      </w:r>
      <w:r>
        <w:rPr>
          <w:rFonts w:hint="eastAsia" w:ascii="仿宋_GB2312" w:hAnsi="仿宋_GB2312" w:eastAsia="仿宋_GB2312" w:cs="仿宋_GB2312"/>
          <w:sz w:val="32"/>
          <w:szCs w:val="32"/>
        </w:rPr>
        <w:t>日</w:t>
      </w:r>
      <w:r>
        <w:rPr>
          <w:rFonts w:hint="eastAsia" w:ascii="仿宋_GB2312" w:hAnsi="Calibri" w:eastAsia="仿宋_GB2312" w:cs="Times New Roman"/>
          <w:b w:val="0"/>
          <w:bCs w:val="0"/>
          <w:kern w:val="2"/>
          <w:sz w:val="32"/>
          <w:szCs w:val="32"/>
          <w:lang w:val="en-US" w:eastAsia="zh-CN" w:bidi="ar-SA"/>
        </w:rPr>
        <w:t>起施行。具体解释工作由市科技局负责。</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文星楷体">
    <w:altName w:val="@楷体"/>
    <w:panose1 w:val="02010609000101010101"/>
    <w:charset w:val="00"/>
    <w:family w:val="modern"/>
    <w:pitch w:val="default"/>
    <w:sig w:usb0="00000000" w:usb1="00000000" w:usb2="0000001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Nimbus Roman No9 L">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文星楷体">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hN2E1MGEwODM4NmYyNWI4MThlYzJjMTllMDU0MjcifQ=="/>
  </w:docVars>
  <w:rsids>
    <w:rsidRoot w:val="BBFF5169"/>
    <w:rsid w:val="03062D2F"/>
    <w:rsid w:val="03FA3E8A"/>
    <w:rsid w:val="05293B9B"/>
    <w:rsid w:val="05F73A67"/>
    <w:rsid w:val="0695BDA0"/>
    <w:rsid w:val="0794165F"/>
    <w:rsid w:val="07B2F08F"/>
    <w:rsid w:val="07EF144E"/>
    <w:rsid w:val="0EFBBB90"/>
    <w:rsid w:val="0FB66F46"/>
    <w:rsid w:val="0FDC7686"/>
    <w:rsid w:val="0FF94F88"/>
    <w:rsid w:val="0FFD9C66"/>
    <w:rsid w:val="1148025A"/>
    <w:rsid w:val="133747C1"/>
    <w:rsid w:val="13E5A6A4"/>
    <w:rsid w:val="15578F05"/>
    <w:rsid w:val="16FDDB15"/>
    <w:rsid w:val="17DDF77B"/>
    <w:rsid w:val="17EE238D"/>
    <w:rsid w:val="193D66E7"/>
    <w:rsid w:val="196A1E1D"/>
    <w:rsid w:val="1BB5F549"/>
    <w:rsid w:val="1BDF3CC7"/>
    <w:rsid w:val="1BEFDBAA"/>
    <w:rsid w:val="1BFFE771"/>
    <w:rsid w:val="1DDF3335"/>
    <w:rsid w:val="1EBD1DBD"/>
    <w:rsid w:val="1ED7BA0E"/>
    <w:rsid w:val="1EDFDA9F"/>
    <w:rsid w:val="1EEE1F7E"/>
    <w:rsid w:val="1EFB7F33"/>
    <w:rsid w:val="1EFD904F"/>
    <w:rsid w:val="1EFDF316"/>
    <w:rsid w:val="1F789C15"/>
    <w:rsid w:val="1FF71614"/>
    <w:rsid w:val="1FFCABDB"/>
    <w:rsid w:val="23DF20E3"/>
    <w:rsid w:val="23E65025"/>
    <w:rsid w:val="26837E55"/>
    <w:rsid w:val="277789AB"/>
    <w:rsid w:val="27FF5BCB"/>
    <w:rsid w:val="28FF7BB4"/>
    <w:rsid w:val="2B376103"/>
    <w:rsid w:val="2B5DAE32"/>
    <w:rsid w:val="2BCF3989"/>
    <w:rsid w:val="2BDE3E0F"/>
    <w:rsid w:val="2C6E9EE2"/>
    <w:rsid w:val="2CB75A24"/>
    <w:rsid w:val="2D8B17BD"/>
    <w:rsid w:val="2DEAE731"/>
    <w:rsid w:val="2DEFC349"/>
    <w:rsid w:val="2EDBB9A3"/>
    <w:rsid w:val="2EDF0CA7"/>
    <w:rsid w:val="2EE32216"/>
    <w:rsid w:val="2EF4735D"/>
    <w:rsid w:val="2EFD03D9"/>
    <w:rsid w:val="2F2F0132"/>
    <w:rsid w:val="2F7573B2"/>
    <w:rsid w:val="2F7FF750"/>
    <w:rsid w:val="2F8F0008"/>
    <w:rsid w:val="2FEDFFB8"/>
    <w:rsid w:val="2FF6742D"/>
    <w:rsid w:val="312319C8"/>
    <w:rsid w:val="3147F2E8"/>
    <w:rsid w:val="339646FD"/>
    <w:rsid w:val="33F8F967"/>
    <w:rsid w:val="33F99835"/>
    <w:rsid w:val="33FBB3A1"/>
    <w:rsid w:val="33FD5DAB"/>
    <w:rsid w:val="349DC0CA"/>
    <w:rsid w:val="355FAA19"/>
    <w:rsid w:val="35BFBCFE"/>
    <w:rsid w:val="35EF6F03"/>
    <w:rsid w:val="35EF7287"/>
    <w:rsid w:val="364FDA90"/>
    <w:rsid w:val="367D03A5"/>
    <w:rsid w:val="36854312"/>
    <w:rsid w:val="36AE25B8"/>
    <w:rsid w:val="36D76A00"/>
    <w:rsid w:val="375723A8"/>
    <w:rsid w:val="375ABE06"/>
    <w:rsid w:val="376F510C"/>
    <w:rsid w:val="37B35AF3"/>
    <w:rsid w:val="37BBF921"/>
    <w:rsid w:val="37BF5482"/>
    <w:rsid w:val="37CDCEA6"/>
    <w:rsid w:val="37DE82F9"/>
    <w:rsid w:val="37EF9344"/>
    <w:rsid w:val="37EFA98C"/>
    <w:rsid w:val="37F7344F"/>
    <w:rsid w:val="37FAA693"/>
    <w:rsid w:val="37FF8FE9"/>
    <w:rsid w:val="386D87D1"/>
    <w:rsid w:val="38FF6C5D"/>
    <w:rsid w:val="3979C8CC"/>
    <w:rsid w:val="397C0100"/>
    <w:rsid w:val="39D249C9"/>
    <w:rsid w:val="39F3C01E"/>
    <w:rsid w:val="3A9D82EA"/>
    <w:rsid w:val="3AAF808F"/>
    <w:rsid w:val="3AFAACE5"/>
    <w:rsid w:val="3AFF3AA2"/>
    <w:rsid w:val="3BBD5170"/>
    <w:rsid w:val="3BC612EE"/>
    <w:rsid w:val="3BF90688"/>
    <w:rsid w:val="3BFBA65E"/>
    <w:rsid w:val="3BFFAEAD"/>
    <w:rsid w:val="3CDB1FBB"/>
    <w:rsid w:val="3CFF8E76"/>
    <w:rsid w:val="3D26D398"/>
    <w:rsid w:val="3D7B289E"/>
    <w:rsid w:val="3D7BC29C"/>
    <w:rsid w:val="3D7E6F25"/>
    <w:rsid w:val="3D7FD529"/>
    <w:rsid w:val="3DC38690"/>
    <w:rsid w:val="3DD37BB7"/>
    <w:rsid w:val="3DDB9516"/>
    <w:rsid w:val="3DDF4FD0"/>
    <w:rsid w:val="3DDF5D64"/>
    <w:rsid w:val="3DEFB764"/>
    <w:rsid w:val="3DEFEBFB"/>
    <w:rsid w:val="3DFB6509"/>
    <w:rsid w:val="3DFD61A3"/>
    <w:rsid w:val="3DFF57F4"/>
    <w:rsid w:val="3E514479"/>
    <w:rsid w:val="3ECE7FE9"/>
    <w:rsid w:val="3EDA7706"/>
    <w:rsid w:val="3EE74645"/>
    <w:rsid w:val="3EF7953D"/>
    <w:rsid w:val="3EFACF23"/>
    <w:rsid w:val="3F3EB661"/>
    <w:rsid w:val="3F6E9155"/>
    <w:rsid w:val="3F6FA9AB"/>
    <w:rsid w:val="3F7B70F4"/>
    <w:rsid w:val="3F9767FE"/>
    <w:rsid w:val="3FAA5DBB"/>
    <w:rsid w:val="3FAF7850"/>
    <w:rsid w:val="3FBE550A"/>
    <w:rsid w:val="3FDB7A09"/>
    <w:rsid w:val="3FDDDDC8"/>
    <w:rsid w:val="3FE2187C"/>
    <w:rsid w:val="3FE377D3"/>
    <w:rsid w:val="3FE5BE1E"/>
    <w:rsid w:val="3FEFC617"/>
    <w:rsid w:val="3FF6F9DE"/>
    <w:rsid w:val="3FF755EA"/>
    <w:rsid w:val="3FFDB4C2"/>
    <w:rsid w:val="3FFFB016"/>
    <w:rsid w:val="41B53E4E"/>
    <w:rsid w:val="44F248E6"/>
    <w:rsid w:val="45B9088F"/>
    <w:rsid w:val="45FEFD06"/>
    <w:rsid w:val="477FF530"/>
    <w:rsid w:val="47BD1E9C"/>
    <w:rsid w:val="499BA0F9"/>
    <w:rsid w:val="4BFBBE2B"/>
    <w:rsid w:val="4D47F992"/>
    <w:rsid w:val="4EFC33AA"/>
    <w:rsid w:val="4EFFBB92"/>
    <w:rsid w:val="4FAA96CC"/>
    <w:rsid w:val="4FAF1331"/>
    <w:rsid w:val="4FE7F747"/>
    <w:rsid w:val="4FFBC599"/>
    <w:rsid w:val="4FFE2DD1"/>
    <w:rsid w:val="4FFE608A"/>
    <w:rsid w:val="4FFFC2C7"/>
    <w:rsid w:val="51AC90AC"/>
    <w:rsid w:val="5377E228"/>
    <w:rsid w:val="53898A9F"/>
    <w:rsid w:val="53B5D4BC"/>
    <w:rsid w:val="53DEDB6B"/>
    <w:rsid w:val="53EC78F1"/>
    <w:rsid w:val="556FA727"/>
    <w:rsid w:val="557EB7E6"/>
    <w:rsid w:val="55F739CA"/>
    <w:rsid w:val="55FF3994"/>
    <w:rsid w:val="563C22F9"/>
    <w:rsid w:val="567FD96B"/>
    <w:rsid w:val="56B7DEDD"/>
    <w:rsid w:val="56FF7ADA"/>
    <w:rsid w:val="572E9CD7"/>
    <w:rsid w:val="5757239A"/>
    <w:rsid w:val="576F0523"/>
    <w:rsid w:val="57B3B147"/>
    <w:rsid w:val="57DE92B9"/>
    <w:rsid w:val="57EDF117"/>
    <w:rsid w:val="57FF2A0F"/>
    <w:rsid w:val="5917D3BB"/>
    <w:rsid w:val="597D1577"/>
    <w:rsid w:val="59FE5A8A"/>
    <w:rsid w:val="5AFF4A44"/>
    <w:rsid w:val="5B1BD475"/>
    <w:rsid w:val="5B2FB034"/>
    <w:rsid w:val="5B7F60E0"/>
    <w:rsid w:val="5BB70ED3"/>
    <w:rsid w:val="5BBD04ED"/>
    <w:rsid w:val="5BBE3F27"/>
    <w:rsid w:val="5BD00ECA"/>
    <w:rsid w:val="5BD36E28"/>
    <w:rsid w:val="5BDB2A79"/>
    <w:rsid w:val="5BF15391"/>
    <w:rsid w:val="5BF6F548"/>
    <w:rsid w:val="5C1F2A85"/>
    <w:rsid w:val="5CAF94CC"/>
    <w:rsid w:val="5CBFDDA6"/>
    <w:rsid w:val="5CFFDCBE"/>
    <w:rsid w:val="5D6639C8"/>
    <w:rsid w:val="5D91C42A"/>
    <w:rsid w:val="5DEF3880"/>
    <w:rsid w:val="5DFAB8E3"/>
    <w:rsid w:val="5DFCC912"/>
    <w:rsid w:val="5DFDAA0D"/>
    <w:rsid w:val="5E17B5FA"/>
    <w:rsid w:val="5E774C86"/>
    <w:rsid w:val="5E7AB107"/>
    <w:rsid w:val="5E7FD23A"/>
    <w:rsid w:val="5EDB7F11"/>
    <w:rsid w:val="5EE6FF8C"/>
    <w:rsid w:val="5EEF9159"/>
    <w:rsid w:val="5EFF705C"/>
    <w:rsid w:val="5EFFE148"/>
    <w:rsid w:val="5F3F3B38"/>
    <w:rsid w:val="5F5F3DAA"/>
    <w:rsid w:val="5F65FB2A"/>
    <w:rsid w:val="5F6738AE"/>
    <w:rsid w:val="5F67D24D"/>
    <w:rsid w:val="5F7CD8BF"/>
    <w:rsid w:val="5F7F1710"/>
    <w:rsid w:val="5F9B5EDB"/>
    <w:rsid w:val="5FAA70C4"/>
    <w:rsid w:val="5FAB6F04"/>
    <w:rsid w:val="5FAF9035"/>
    <w:rsid w:val="5FBF2684"/>
    <w:rsid w:val="5FBF8E02"/>
    <w:rsid w:val="5FC15CF6"/>
    <w:rsid w:val="5FCE273F"/>
    <w:rsid w:val="5FD542B2"/>
    <w:rsid w:val="5FD73442"/>
    <w:rsid w:val="5FDCB2BD"/>
    <w:rsid w:val="5FDE377A"/>
    <w:rsid w:val="5FE1DE4E"/>
    <w:rsid w:val="5FF7D5F7"/>
    <w:rsid w:val="5FFC0D8D"/>
    <w:rsid w:val="5FFE66FB"/>
    <w:rsid w:val="5FFF583C"/>
    <w:rsid w:val="63134FAD"/>
    <w:rsid w:val="63E323DD"/>
    <w:rsid w:val="63F634E3"/>
    <w:rsid w:val="64661951"/>
    <w:rsid w:val="653B2B6A"/>
    <w:rsid w:val="656749B3"/>
    <w:rsid w:val="657FC4B8"/>
    <w:rsid w:val="66BD6767"/>
    <w:rsid w:val="66EB35AD"/>
    <w:rsid w:val="66F3AEF3"/>
    <w:rsid w:val="6772920C"/>
    <w:rsid w:val="67759771"/>
    <w:rsid w:val="679B373F"/>
    <w:rsid w:val="67A4E720"/>
    <w:rsid w:val="67E9EB97"/>
    <w:rsid w:val="67F5C78A"/>
    <w:rsid w:val="67F69E66"/>
    <w:rsid w:val="67F74370"/>
    <w:rsid w:val="67FB01B8"/>
    <w:rsid w:val="67FFDE8F"/>
    <w:rsid w:val="68396186"/>
    <w:rsid w:val="68FF6425"/>
    <w:rsid w:val="697F98F3"/>
    <w:rsid w:val="69DE40B9"/>
    <w:rsid w:val="69DFA87F"/>
    <w:rsid w:val="69FFC76B"/>
    <w:rsid w:val="6AFB77E1"/>
    <w:rsid w:val="6AFBDA3E"/>
    <w:rsid w:val="6B7F23E5"/>
    <w:rsid w:val="6B9DB66F"/>
    <w:rsid w:val="6BBD501D"/>
    <w:rsid w:val="6BBDA5FD"/>
    <w:rsid w:val="6BE3E81E"/>
    <w:rsid w:val="6BFFE4D0"/>
    <w:rsid w:val="6C4C48D3"/>
    <w:rsid w:val="6C6904BE"/>
    <w:rsid w:val="6CA39491"/>
    <w:rsid w:val="6CC5324D"/>
    <w:rsid w:val="6CE75BB9"/>
    <w:rsid w:val="6D2C89FE"/>
    <w:rsid w:val="6DE9D2F6"/>
    <w:rsid w:val="6DEF3B6D"/>
    <w:rsid w:val="6DEF468F"/>
    <w:rsid w:val="6DF59744"/>
    <w:rsid w:val="6E9E1802"/>
    <w:rsid w:val="6EBD6E83"/>
    <w:rsid w:val="6EBDC35E"/>
    <w:rsid w:val="6ECF5D85"/>
    <w:rsid w:val="6EEBD224"/>
    <w:rsid w:val="6EF719B2"/>
    <w:rsid w:val="6EFB8A8C"/>
    <w:rsid w:val="6EFF20F2"/>
    <w:rsid w:val="6F1DEF7D"/>
    <w:rsid w:val="6F366447"/>
    <w:rsid w:val="6F53DFC4"/>
    <w:rsid w:val="6F5B26FF"/>
    <w:rsid w:val="6F5FF102"/>
    <w:rsid w:val="6FB4FE1B"/>
    <w:rsid w:val="6FBF7D22"/>
    <w:rsid w:val="6FD72553"/>
    <w:rsid w:val="6FF58325"/>
    <w:rsid w:val="6FF70E91"/>
    <w:rsid w:val="6FFD607F"/>
    <w:rsid w:val="6FFD7608"/>
    <w:rsid w:val="6FFE8E9F"/>
    <w:rsid w:val="6FFFE4A6"/>
    <w:rsid w:val="703F9FDA"/>
    <w:rsid w:val="727D5863"/>
    <w:rsid w:val="72F7FC90"/>
    <w:rsid w:val="739BCA8C"/>
    <w:rsid w:val="739D76F6"/>
    <w:rsid w:val="73BFED4D"/>
    <w:rsid w:val="73E3B142"/>
    <w:rsid w:val="73EBD8C5"/>
    <w:rsid w:val="74EFBDE3"/>
    <w:rsid w:val="74FDF520"/>
    <w:rsid w:val="753F15DE"/>
    <w:rsid w:val="755FE595"/>
    <w:rsid w:val="7573FBC8"/>
    <w:rsid w:val="75D752A4"/>
    <w:rsid w:val="75D79485"/>
    <w:rsid w:val="75DFF97B"/>
    <w:rsid w:val="75F681C0"/>
    <w:rsid w:val="75FFEE66"/>
    <w:rsid w:val="767D8D73"/>
    <w:rsid w:val="7697AF6E"/>
    <w:rsid w:val="76D724A7"/>
    <w:rsid w:val="76DF1544"/>
    <w:rsid w:val="76DF645C"/>
    <w:rsid w:val="76FB3F58"/>
    <w:rsid w:val="76FF2ECD"/>
    <w:rsid w:val="76FF7950"/>
    <w:rsid w:val="773CBA3B"/>
    <w:rsid w:val="773FBED8"/>
    <w:rsid w:val="775D4949"/>
    <w:rsid w:val="77672524"/>
    <w:rsid w:val="777DB23A"/>
    <w:rsid w:val="777F042A"/>
    <w:rsid w:val="77B5F243"/>
    <w:rsid w:val="77BA2E6F"/>
    <w:rsid w:val="77BD22A8"/>
    <w:rsid w:val="77CBCD15"/>
    <w:rsid w:val="77CDCFE0"/>
    <w:rsid w:val="77D73462"/>
    <w:rsid w:val="77DB3031"/>
    <w:rsid w:val="77DFEC35"/>
    <w:rsid w:val="77E500B9"/>
    <w:rsid w:val="77E96334"/>
    <w:rsid w:val="77EBC4DF"/>
    <w:rsid w:val="77EF70FC"/>
    <w:rsid w:val="77F4E143"/>
    <w:rsid w:val="77FA3363"/>
    <w:rsid w:val="77FDE5CD"/>
    <w:rsid w:val="77FDF1DD"/>
    <w:rsid w:val="77FF7168"/>
    <w:rsid w:val="77FFD0E0"/>
    <w:rsid w:val="783FCB04"/>
    <w:rsid w:val="78E338B8"/>
    <w:rsid w:val="78FA0E9D"/>
    <w:rsid w:val="791B208C"/>
    <w:rsid w:val="793D584B"/>
    <w:rsid w:val="797845EE"/>
    <w:rsid w:val="797D1058"/>
    <w:rsid w:val="79977CCE"/>
    <w:rsid w:val="79FADAD6"/>
    <w:rsid w:val="79FE41A1"/>
    <w:rsid w:val="79FF08DE"/>
    <w:rsid w:val="79FF55B5"/>
    <w:rsid w:val="7A4FA870"/>
    <w:rsid w:val="7A5EAC09"/>
    <w:rsid w:val="7A7992CF"/>
    <w:rsid w:val="7AB7D7D3"/>
    <w:rsid w:val="7AB7FB83"/>
    <w:rsid w:val="7ABEFD52"/>
    <w:rsid w:val="7AF7D0EC"/>
    <w:rsid w:val="7AF93873"/>
    <w:rsid w:val="7AFE8395"/>
    <w:rsid w:val="7AFFE206"/>
    <w:rsid w:val="7B1E28D7"/>
    <w:rsid w:val="7B391D9B"/>
    <w:rsid w:val="7B3B8CFE"/>
    <w:rsid w:val="7B492774"/>
    <w:rsid w:val="7B57E369"/>
    <w:rsid w:val="7B6BE28C"/>
    <w:rsid w:val="7B6F844D"/>
    <w:rsid w:val="7B7F471D"/>
    <w:rsid w:val="7B7F9630"/>
    <w:rsid w:val="7B7FC35D"/>
    <w:rsid w:val="7B7FD132"/>
    <w:rsid w:val="7B9F329D"/>
    <w:rsid w:val="7B9F9504"/>
    <w:rsid w:val="7BB3D66F"/>
    <w:rsid w:val="7BB9D32B"/>
    <w:rsid w:val="7BBF36C3"/>
    <w:rsid w:val="7BBF7F13"/>
    <w:rsid w:val="7BCF72F6"/>
    <w:rsid w:val="7BCFFE32"/>
    <w:rsid w:val="7BD99764"/>
    <w:rsid w:val="7BDC0179"/>
    <w:rsid w:val="7BDD0D9A"/>
    <w:rsid w:val="7BDDCB2F"/>
    <w:rsid w:val="7BE3524B"/>
    <w:rsid w:val="7BE8F1B1"/>
    <w:rsid w:val="7BE924FA"/>
    <w:rsid w:val="7BF50112"/>
    <w:rsid w:val="7BF5C782"/>
    <w:rsid w:val="7BFD92D2"/>
    <w:rsid w:val="7BFDEAE9"/>
    <w:rsid w:val="7BFF31BF"/>
    <w:rsid w:val="7BFF5F5D"/>
    <w:rsid w:val="7BFFEF88"/>
    <w:rsid w:val="7C1D9C99"/>
    <w:rsid w:val="7C6FFFAA"/>
    <w:rsid w:val="7C7FD6C5"/>
    <w:rsid w:val="7C9FA095"/>
    <w:rsid w:val="7CD8BF3B"/>
    <w:rsid w:val="7CDBD09A"/>
    <w:rsid w:val="7CDF017F"/>
    <w:rsid w:val="7CDFB8D5"/>
    <w:rsid w:val="7CE872C0"/>
    <w:rsid w:val="7CEF7E01"/>
    <w:rsid w:val="7CFB764A"/>
    <w:rsid w:val="7CFE7CCD"/>
    <w:rsid w:val="7CFF16BB"/>
    <w:rsid w:val="7CFF6E01"/>
    <w:rsid w:val="7D0F99D3"/>
    <w:rsid w:val="7D2F27F2"/>
    <w:rsid w:val="7D3F1F89"/>
    <w:rsid w:val="7D5D4583"/>
    <w:rsid w:val="7D6BA898"/>
    <w:rsid w:val="7D6FD0ED"/>
    <w:rsid w:val="7D7D2998"/>
    <w:rsid w:val="7D7ED747"/>
    <w:rsid w:val="7D991448"/>
    <w:rsid w:val="7D9B4583"/>
    <w:rsid w:val="7DBB7914"/>
    <w:rsid w:val="7DBCBBED"/>
    <w:rsid w:val="7DBD78CD"/>
    <w:rsid w:val="7DCEDDE1"/>
    <w:rsid w:val="7DE788D3"/>
    <w:rsid w:val="7DEF1A14"/>
    <w:rsid w:val="7DEF33F0"/>
    <w:rsid w:val="7DEF462C"/>
    <w:rsid w:val="7DEF76A2"/>
    <w:rsid w:val="7DF33703"/>
    <w:rsid w:val="7E3F4AD6"/>
    <w:rsid w:val="7E77C8CC"/>
    <w:rsid w:val="7E7F69FA"/>
    <w:rsid w:val="7E8F62BD"/>
    <w:rsid w:val="7EA53DB8"/>
    <w:rsid w:val="7EB73FC2"/>
    <w:rsid w:val="7EB7B88E"/>
    <w:rsid w:val="7ED5BDB2"/>
    <w:rsid w:val="7EDB22B1"/>
    <w:rsid w:val="7EDBDD04"/>
    <w:rsid w:val="7EDFEEAC"/>
    <w:rsid w:val="7EEE999B"/>
    <w:rsid w:val="7EF317D3"/>
    <w:rsid w:val="7EF773C2"/>
    <w:rsid w:val="7EFF8AFE"/>
    <w:rsid w:val="7F1B06D7"/>
    <w:rsid w:val="7F35F833"/>
    <w:rsid w:val="7F3A16A7"/>
    <w:rsid w:val="7F3D799B"/>
    <w:rsid w:val="7F45C207"/>
    <w:rsid w:val="7F4D3E53"/>
    <w:rsid w:val="7F4D7FF4"/>
    <w:rsid w:val="7F4F9BFC"/>
    <w:rsid w:val="7F5D254F"/>
    <w:rsid w:val="7F5E05EC"/>
    <w:rsid w:val="7F5F89B8"/>
    <w:rsid w:val="7F6E7363"/>
    <w:rsid w:val="7F6F180D"/>
    <w:rsid w:val="7F6FC544"/>
    <w:rsid w:val="7F77EAC0"/>
    <w:rsid w:val="7F7AD95D"/>
    <w:rsid w:val="7F7BE5B9"/>
    <w:rsid w:val="7F7C3C37"/>
    <w:rsid w:val="7F7EBC8E"/>
    <w:rsid w:val="7F7F6D2E"/>
    <w:rsid w:val="7F7F9997"/>
    <w:rsid w:val="7FA9C49C"/>
    <w:rsid w:val="7FB35A55"/>
    <w:rsid w:val="7FB69639"/>
    <w:rsid w:val="7FB6EB81"/>
    <w:rsid w:val="7FB78298"/>
    <w:rsid w:val="7FBB8CA7"/>
    <w:rsid w:val="7FBC0302"/>
    <w:rsid w:val="7FBF502D"/>
    <w:rsid w:val="7FBF6973"/>
    <w:rsid w:val="7FBF6A53"/>
    <w:rsid w:val="7FBFAA92"/>
    <w:rsid w:val="7FC2C88D"/>
    <w:rsid w:val="7FCB4C69"/>
    <w:rsid w:val="7FCC4A02"/>
    <w:rsid w:val="7FCF13A9"/>
    <w:rsid w:val="7FD500A6"/>
    <w:rsid w:val="7FD5BBF0"/>
    <w:rsid w:val="7FD70615"/>
    <w:rsid w:val="7FDA6303"/>
    <w:rsid w:val="7FDBD94D"/>
    <w:rsid w:val="7FDE04DC"/>
    <w:rsid w:val="7FDF02CE"/>
    <w:rsid w:val="7FDFBCE1"/>
    <w:rsid w:val="7FDFD05A"/>
    <w:rsid w:val="7FEB5E82"/>
    <w:rsid w:val="7FEE3F89"/>
    <w:rsid w:val="7FEF4DE6"/>
    <w:rsid w:val="7FEFA80A"/>
    <w:rsid w:val="7FEFDBAD"/>
    <w:rsid w:val="7FF73796"/>
    <w:rsid w:val="7FF7842C"/>
    <w:rsid w:val="7FF7FF29"/>
    <w:rsid w:val="7FF96B97"/>
    <w:rsid w:val="7FFAFC50"/>
    <w:rsid w:val="7FFB5E02"/>
    <w:rsid w:val="7FFBDD9B"/>
    <w:rsid w:val="7FFD870C"/>
    <w:rsid w:val="7FFDDB6D"/>
    <w:rsid w:val="7FFE366E"/>
    <w:rsid w:val="7FFEF0DD"/>
    <w:rsid w:val="7FFF6409"/>
    <w:rsid w:val="7FFF89C3"/>
    <w:rsid w:val="7FFFA683"/>
    <w:rsid w:val="7FFFE595"/>
    <w:rsid w:val="87B53D67"/>
    <w:rsid w:val="8B988185"/>
    <w:rsid w:val="8B9F99A1"/>
    <w:rsid w:val="8CFB4B0D"/>
    <w:rsid w:val="8FDC6CFE"/>
    <w:rsid w:val="8FEF412F"/>
    <w:rsid w:val="8FF71DAB"/>
    <w:rsid w:val="917F4D16"/>
    <w:rsid w:val="96DB8D18"/>
    <w:rsid w:val="97EF356D"/>
    <w:rsid w:val="97FFF94B"/>
    <w:rsid w:val="98E5C121"/>
    <w:rsid w:val="99AF5A1F"/>
    <w:rsid w:val="9A2EB561"/>
    <w:rsid w:val="9A6DA97F"/>
    <w:rsid w:val="9CB721B0"/>
    <w:rsid w:val="9D7D4882"/>
    <w:rsid w:val="9DEF7381"/>
    <w:rsid w:val="9DF971A7"/>
    <w:rsid w:val="9DFDC33A"/>
    <w:rsid w:val="9E33463C"/>
    <w:rsid w:val="9E37D394"/>
    <w:rsid w:val="9E5EA4F9"/>
    <w:rsid w:val="9EE54A4F"/>
    <w:rsid w:val="9EEEBCF9"/>
    <w:rsid w:val="9F351F1A"/>
    <w:rsid w:val="9F77FDB1"/>
    <w:rsid w:val="9F91024B"/>
    <w:rsid w:val="9F955760"/>
    <w:rsid w:val="9F9FD0A4"/>
    <w:rsid w:val="9FA7EAFF"/>
    <w:rsid w:val="9FDA5005"/>
    <w:rsid w:val="9FF3BE0D"/>
    <w:rsid w:val="9FF74E4B"/>
    <w:rsid w:val="9FFD53B5"/>
    <w:rsid w:val="9FFEC5A5"/>
    <w:rsid w:val="A126B7FD"/>
    <w:rsid w:val="A5FFE9EF"/>
    <w:rsid w:val="A6F7F2EA"/>
    <w:rsid w:val="A7DF7702"/>
    <w:rsid w:val="A7FBCBE0"/>
    <w:rsid w:val="A7FE3273"/>
    <w:rsid w:val="AABBC843"/>
    <w:rsid w:val="AADF9936"/>
    <w:rsid w:val="ABED3F2B"/>
    <w:rsid w:val="ACEE5D42"/>
    <w:rsid w:val="AD66F440"/>
    <w:rsid w:val="AD9D1C48"/>
    <w:rsid w:val="ADAC49B1"/>
    <w:rsid w:val="ADDF1489"/>
    <w:rsid w:val="AE8F8D51"/>
    <w:rsid w:val="AF6E2441"/>
    <w:rsid w:val="AF7B43CD"/>
    <w:rsid w:val="AF7E45D8"/>
    <w:rsid w:val="AFB7C191"/>
    <w:rsid w:val="AFBFD6A7"/>
    <w:rsid w:val="AFDEAE74"/>
    <w:rsid w:val="AFF79057"/>
    <w:rsid w:val="AFF7E211"/>
    <w:rsid w:val="AFFE6F7C"/>
    <w:rsid w:val="AFFFCB27"/>
    <w:rsid w:val="B1A7A096"/>
    <w:rsid w:val="B1CDA95B"/>
    <w:rsid w:val="B1DC5256"/>
    <w:rsid w:val="B2FECED1"/>
    <w:rsid w:val="B4BF5054"/>
    <w:rsid w:val="B4D69AD9"/>
    <w:rsid w:val="B5D509CC"/>
    <w:rsid w:val="B5FB7A75"/>
    <w:rsid w:val="B5FF0383"/>
    <w:rsid w:val="B6776965"/>
    <w:rsid w:val="B67D93C2"/>
    <w:rsid w:val="B6D8FC97"/>
    <w:rsid w:val="B6FBCA4C"/>
    <w:rsid w:val="B76EE9E1"/>
    <w:rsid w:val="B773B2E0"/>
    <w:rsid w:val="B77BD70F"/>
    <w:rsid w:val="B79FE25C"/>
    <w:rsid w:val="B7B52C30"/>
    <w:rsid w:val="B7CB0078"/>
    <w:rsid w:val="B7EF753D"/>
    <w:rsid w:val="B92FC219"/>
    <w:rsid w:val="B939EE2B"/>
    <w:rsid w:val="B9932105"/>
    <w:rsid w:val="B9FD550E"/>
    <w:rsid w:val="BA6FC5EC"/>
    <w:rsid w:val="BB5F089B"/>
    <w:rsid w:val="BB7D6B05"/>
    <w:rsid w:val="BBBF192E"/>
    <w:rsid w:val="BBE9945D"/>
    <w:rsid w:val="BBEF40D5"/>
    <w:rsid w:val="BBFDF0EC"/>
    <w:rsid w:val="BBFF0580"/>
    <w:rsid w:val="BBFF5169"/>
    <w:rsid w:val="BC3E7A6E"/>
    <w:rsid w:val="BCFBA793"/>
    <w:rsid w:val="BCFDD857"/>
    <w:rsid w:val="BD7DF911"/>
    <w:rsid w:val="BD7F6E58"/>
    <w:rsid w:val="BD91FB16"/>
    <w:rsid w:val="BDD11841"/>
    <w:rsid w:val="BDE300C3"/>
    <w:rsid w:val="BDE478C4"/>
    <w:rsid w:val="BDFF3651"/>
    <w:rsid w:val="BE3F18A9"/>
    <w:rsid w:val="BE734823"/>
    <w:rsid w:val="BE7FEE3E"/>
    <w:rsid w:val="BED5F6C2"/>
    <w:rsid w:val="BEDA50F5"/>
    <w:rsid w:val="BEE3F3BC"/>
    <w:rsid w:val="BEED3CB3"/>
    <w:rsid w:val="BEFF5091"/>
    <w:rsid w:val="BF1F6E06"/>
    <w:rsid w:val="BF3F3E5D"/>
    <w:rsid w:val="BF3FBEF2"/>
    <w:rsid w:val="BF46A069"/>
    <w:rsid w:val="BF501DC7"/>
    <w:rsid w:val="BF7F7B70"/>
    <w:rsid w:val="BF7FFEB1"/>
    <w:rsid w:val="BFA672B3"/>
    <w:rsid w:val="BFAF1FB7"/>
    <w:rsid w:val="BFB03115"/>
    <w:rsid w:val="BFBBF930"/>
    <w:rsid w:val="BFBD7897"/>
    <w:rsid w:val="BFBF4721"/>
    <w:rsid w:val="BFBFB15F"/>
    <w:rsid w:val="BFD38D52"/>
    <w:rsid w:val="BFEB5745"/>
    <w:rsid w:val="BFF77465"/>
    <w:rsid w:val="BFFA7EC9"/>
    <w:rsid w:val="BFFB9B1C"/>
    <w:rsid w:val="BFFCDD1F"/>
    <w:rsid w:val="C3C1983E"/>
    <w:rsid w:val="C4BA26B4"/>
    <w:rsid w:val="C517D977"/>
    <w:rsid w:val="C55FC583"/>
    <w:rsid w:val="C78F0EE3"/>
    <w:rsid w:val="C7FF8237"/>
    <w:rsid w:val="C9EAAE4E"/>
    <w:rsid w:val="CB750887"/>
    <w:rsid w:val="CBB7375E"/>
    <w:rsid w:val="CBEDF254"/>
    <w:rsid w:val="CBFE0F02"/>
    <w:rsid w:val="CC761530"/>
    <w:rsid w:val="CDF7CBB4"/>
    <w:rsid w:val="CEFB35AF"/>
    <w:rsid w:val="CFDF80AA"/>
    <w:rsid w:val="CFF1D8A2"/>
    <w:rsid w:val="CFFED106"/>
    <w:rsid w:val="CFFF0CFE"/>
    <w:rsid w:val="CFFFC8A1"/>
    <w:rsid w:val="D1E61FD0"/>
    <w:rsid w:val="D3AB94E1"/>
    <w:rsid w:val="D3F97C98"/>
    <w:rsid w:val="D47DB314"/>
    <w:rsid w:val="D5677AE6"/>
    <w:rsid w:val="D59FA3A6"/>
    <w:rsid w:val="D5B776D8"/>
    <w:rsid w:val="D5BE18E6"/>
    <w:rsid w:val="D5FF2293"/>
    <w:rsid w:val="D61F05F6"/>
    <w:rsid w:val="D63F971D"/>
    <w:rsid w:val="D64B3919"/>
    <w:rsid w:val="D6773D73"/>
    <w:rsid w:val="D67FAB72"/>
    <w:rsid w:val="D6DF6140"/>
    <w:rsid w:val="D6E717CD"/>
    <w:rsid w:val="D79B0599"/>
    <w:rsid w:val="D7CE6522"/>
    <w:rsid w:val="D7EF079B"/>
    <w:rsid w:val="D7FF8FB3"/>
    <w:rsid w:val="D7FF97F1"/>
    <w:rsid w:val="D97F9B2A"/>
    <w:rsid w:val="D9BF9E49"/>
    <w:rsid w:val="D9F7A641"/>
    <w:rsid w:val="DA2EA246"/>
    <w:rsid w:val="DB3FA5D7"/>
    <w:rsid w:val="DBB6366C"/>
    <w:rsid w:val="DBDC0DA9"/>
    <w:rsid w:val="DBFAB994"/>
    <w:rsid w:val="DBFE1053"/>
    <w:rsid w:val="DC6BC2A2"/>
    <w:rsid w:val="DCAF7DC2"/>
    <w:rsid w:val="DCAFEF66"/>
    <w:rsid w:val="DCEF5D85"/>
    <w:rsid w:val="DCFFC61B"/>
    <w:rsid w:val="DD33282D"/>
    <w:rsid w:val="DD5AFD80"/>
    <w:rsid w:val="DD5EEBEB"/>
    <w:rsid w:val="DD6C019A"/>
    <w:rsid w:val="DD7786A1"/>
    <w:rsid w:val="DD9E0269"/>
    <w:rsid w:val="DDB4E4DE"/>
    <w:rsid w:val="DDB94B70"/>
    <w:rsid w:val="DDFD800C"/>
    <w:rsid w:val="DDFFCC87"/>
    <w:rsid w:val="DE2E822B"/>
    <w:rsid w:val="DE37EC80"/>
    <w:rsid w:val="DE5BE207"/>
    <w:rsid w:val="DE7F49D0"/>
    <w:rsid w:val="DE97DEF9"/>
    <w:rsid w:val="DEDBE409"/>
    <w:rsid w:val="DEDE57D2"/>
    <w:rsid w:val="DEDE59DE"/>
    <w:rsid w:val="DEE7E6EE"/>
    <w:rsid w:val="DEEE7076"/>
    <w:rsid w:val="DEFC7C5F"/>
    <w:rsid w:val="DEFE8F21"/>
    <w:rsid w:val="DEFFA99D"/>
    <w:rsid w:val="DF7E0B59"/>
    <w:rsid w:val="DF87EE2D"/>
    <w:rsid w:val="DFBAA1C8"/>
    <w:rsid w:val="DFBB3934"/>
    <w:rsid w:val="DFBDD8ED"/>
    <w:rsid w:val="DFBE1A28"/>
    <w:rsid w:val="DFBF2183"/>
    <w:rsid w:val="DFBF3139"/>
    <w:rsid w:val="DFC6CAE1"/>
    <w:rsid w:val="DFDFDF7F"/>
    <w:rsid w:val="DFED1701"/>
    <w:rsid w:val="DFEE9193"/>
    <w:rsid w:val="DFEE9AAE"/>
    <w:rsid w:val="DFEEA729"/>
    <w:rsid w:val="DFF6D0B6"/>
    <w:rsid w:val="DFFAA235"/>
    <w:rsid w:val="DFFCF050"/>
    <w:rsid w:val="DFFEB1BC"/>
    <w:rsid w:val="DFFF0B9A"/>
    <w:rsid w:val="DFFF4671"/>
    <w:rsid w:val="DFFF83F7"/>
    <w:rsid w:val="DFFF8BBB"/>
    <w:rsid w:val="E04F69E8"/>
    <w:rsid w:val="E33ED1FC"/>
    <w:rsid w:val="E37F7854"/>
    <w:rsid w:val="E39FD433"/>
    <w:rsid w:val="E3BB0660"/>
    <w:rsid w:val="E3DF3E17"/>
    <w:rsid w:val="E3FE616A"/>
    <w:rsid w:val="E3FE703B"/>
    <w:rsid w:val="E5FD6E32"/>
    <w:rsid w:val="E5FD88E4"/>
    <w:rsid w:val="E6EFFA3F"/>
    <w:rsid w:val="E72DFDF9"/>
    <w:rsid w:val="E73B2054"/>
    <w:rsid w:val="E73EB93C"/>
    <w:rsid w:val="E76F2384"/>
    <w:rsid w:val="E76FBBBC"/>
    <w:rsid w:val="E77C2E4F"/>
    <w:rsid w:val="E79D175E"/>
    <w:rsid w:val="E7B5F9C7"/>
    <w:rsid w:val="E7B93843"/>
    <w:rsid w:val="E7BD5696"/>
    <w:rsid w:val="E7DF3753"/>
    <w:rsid w:val="E7F6C34B"/>
    <w:rsid w:val="E7F777EB"/>
    <w:rsid w:val="E7FFB3F1"/>
    <w:rsid w:val="E94C0AD5"/>
    <w:rsid w:val="E983961C"/>
    <w:rsid w:val="E99C4CFC"/>
    <w:rsid w:val="E9B95D40"/>
    <w:rsid w:val="E9EB87B3"/>
    <w:rsid w:val="E9FF4040"/>
    <w:rsid w:val="EA95A7C5"/>
    <w:rsid w:val="EAD7B0AB"/>
    <w:rsid w:val="EADFA09A"/>
    <w:rsid w:val="EAFFDFD4"/>
    <w:rsid w:val="EB772456"/>
    <w:rsid w:val="EB78819A"/>
    <w:rsid w:val="EB7ECC04"/>
    <w:rsid w:val="EBF688B7"/>
    <w:rsid w:val="EBF6F5D0"/>
    <w:rsid w:val="EBFE4693"/>
    <w:rsid w:val="EBFF4F70"/>
    <w:rsid w:val="EBFFF541"/>
    <w:rsid w:val="ECBC6884"/>
    <w:rsid w:val="ECFBD7C4"/>
    <w:rsid w:val="ED920931"/>
    <w:rsid w:val="EDDDB94D"/>
    <w:rsid w:val="EDFC298F"/>
    <w:rsid w:val="EDFEE1C1"/>
    <w:rsid w:val="EDFF4E8A"/>
    <w:rsid w:val="EE3D4C51"/>
    <w:rsid w:val="EE5E63B0"/>
    <w:rsid w:val="EEBF505A"/>
    <w:rsid w:val="EEEE3167"/>
    <w:rsid w:val="EEFB7AE6"/>
    <w:rsid w:val="EEFCBB22"/>
    <w:rsid w:val="EEFDC12D"/>
    <w:rsid w:val="EEFF2DC8"/>
    <w:rsid w:val="EEFF599C"/>
    <w:rsid w:val="EF7C10FF"/>
    <w:rsid w:val="EF7F36BC"/>
    <w:rsid w:val="EF7F4E78"/>
    <w:rsid w:val="EF8F747C"/>
    <w:rsid w:val="EFA90876"/>
    <w:rsid w:val="EFAA1B95"/>
    <w:rsid w:val="EFADB522"/>
    <w:rsid w:val="EFBC993E"/>
    <w:rsid w:val="EFBF782C"/>
    <w:rsid w:val="EFC595D5"/>
    <w:rsid w:val="EFC74980"/>
    <w:rsid w:val="EFC7AFE8"/>
    <w:rsid w:val="EFD371A9"/>
    <w:rsid w:val="EFE1CD34"/>
    <w:rsid w:val="EFEF9E1B"/>
    <w:rsid w:val="EFFD1F27"/>
    <w:rsid w:val="EFFF9EF5"/>
    <w:rsid w:val="EFFFE090"/>
    <w:rsid w:val="F1FD607B"/>
    <w:rsid w:val="F2D5ED04"/>
    <w:rsid w:val="F2F3D5E1"/>
    <w:rsid w:val="F2FBBE25"/>
    <w:rsid w:val="F2FD8E4E"/>
    <w:rsid w:val="F37F2BC6"/>
    <w:rsid w:val="F3DF0A5B"/>
    <w:rsid w:val="F3EF7C98"/>
    <w:rsid w:val="F3F117BF"/>
    <w:rsid w:val="F3FA6C85"/>
    <w:rsid w:val="F3FDBC81"/>
    <w:rsid w:val="F3FF38A4"/>
    <w:rsid w:val="F3FF97DC"/>
    <w:rsid w:val="F43FB94D"/>
    <w:rsid w:val="F455C0D9"/>
    <w:rsid w:val="F47F6A0C"/>
    <w:rsid w:val="F4BFF93D"/>
    <w:rsid w:val="F4FF7207"/>
    <w:rsid w:val="F56DB855"/>
    <w:rsid w:val="F57F7991"/>
    <w:rsid w:val="F59E49EC"/>
    <w:rsid w:val="F5CEBBBA"/>
    <w:rsid w:val="F5F545FE"/>
    <w:rsid w:val="F5FEAF2B"/>
    <w:rsid w:val="F6B5077F"/>
    <w:rsid w:val="F6D6A588"/>
    <w:rsid w:val="F6D6AB05"/>
    <w:rsid w:val="F6D7154B"/>
    <w:rsid w:val="F6DF3A51"/>
    <w:rsid w:val="F6EFF9DE"/>
    <w:rsid w:val="F6F1F023"/>
    <w:rsid w:val="F6F45B7E"/>
    <w:rsid w:val="F6FAAACF"/>
    <w:rsid w:val="F6FBE10E"/>
    <w:rsid w:val="F717DD56"/>
    <w:rsid w:val="F77F9F7F"/>
    <w:rsid w:val="F7AFF7F3"/>
    <w:rsid w:val="F7B31A69"/>
    <w:rsid w:val="F7B7E728"/>
    <w:rsid w:val="F7BE82D1"/>
    <w:rsid w:val="F7BEC2B3"/>
    <w:rsid w:val="F7BF5D20"/>
    <w:rsid w:val="F7DA3FD6"/>
    <w:rsid w:val="F7DB0719"/>
    <w:rsid w:val="F7DEED74"/>
    <w:rsid w:val="F7DF162B"/>
    <w:rsid w:val="F7ED30EB"/>
    <w:rsid w:val="F7ED970E"/>
    <w:rsid w:val="F7EF236A"/>
    <w:rsid w:val="F7F1453E"/>
    <w:rsid w:val="F7F26638"/>
    <w:rsid w:val="F7F4F3EB"/>
    <w:rsid w:val="F7F7EB90"/>
    <w:rsid w:val="F7F9922D"/>
    <w:rsid w:val="F7FBAB0E"/>
    <w:rsid w:val="F7FC7A69"/>
    <w:rsid w:val="F7FDAE7C"/>
    <w:rsid w:val="F7FEBC40"/>
    <w:rsid w:val="F7FF6E56"/>
    <w:rsid w:val="F7FFA4DE"/>
    <w:rsid w:val="F7FFF6DE"/>
    <w:rsid w:val="F85EC3E6"/>
    <w:rsid w:val="F8E77B6B"/>
    <w:rsid w:val="F8FB7FA4"/>
    <w:rsid w:val="F937EC5A"/>
    <w:rsid w:val="F96971B2"/>
    <w:rsid w:val="F970D582"/>
    <w:rsid w:val="F97BB31F"/>
    <w:rsid w:val="F97EB94F"/>
    <w:rsid w:val="F99BCC04"/>
    <w:rsid w:val="F99FDFBF"/>
    <w:rsid w:val="F9B69C8F"/>
    <w:rsid w:val="F9D7BE85"/>
    <w:rsid w:val="F9E7C9EC"/>
    <w:rsid w:val="F9EC4068"/>
    <w:rsid w:val="F9ED8CB4"/>
    <w:rsid w:val="F9EECA1F"/>
    <w:rsid w:val="F9FA8B9A"/>
    <w:rsid w:val="F9FD66F0"/>
    <w:rsid w:val="F9FFFCD1"/>
    <w:rsid w:val="FA96742D"/>
    <w:rsid w:val="FAA69642"/>
    <w:rsid w:val="FAAFBAC7"/>
    <w:rsid w:val="FAF42084"/>
    <w:rsid w:val="FB67F649"/>
    <w:rsid w:val="FB6B56A6"/>
    <w:rsid w:val="FB7B0FA9"/>
    <w:rsid w:val="FB7DD835"/>
    <w:rsid w:val="FB993694"/>
    <w:rsid w:val="FBA835FE"/>
    <w:rsid w:val="FBAF2235"/>
    <w:rsid w:val="FBAF528F"/>
    <w:rsid w:val="FBB86BB2"/>
    <w:rsid w:val="FBBB1E5A"/>
    <w:rsid w:val="FBBD09AB"/>
    <w:rsid w:val="FBCFC766"/>
    <w:rsid w:val="FBDF37F2"/>
    <w:rsid w:val="FBE574EE"/>
    <w:rsid w:val="FBE5D919"/>
    <w:rsid w:val="FBEE1752"/>
    <w:rsid w:val="FBEE6668"/>
    <w:rsid w:val="FBF93BF4"/>
    <w:rsid w:val="FBF996AA"/>
    <w:rsid w:val="FBFF1323"/>
    <w:rsid w:val="FBFF1463"/>
    <w:rsid w:val="FBFF8BD1"/>
    <w:rsid w:val="FC5770F1"/>
    <w:rsid w:val="FC7EE77B"/>
    <w:rsid w:val="FCA70F90"/>
    <w:rsid w:val="FCAF754E"/>
    <w:rsid w:val="FCCFDF3A"/>
    <w:rsid w:val="FCD3D4A1"/>
    <w:rsid w:val="FCDF253B"/>
    <w:rsid w:val="FCE2574B"/>
    <w:rsid w:val="FCFBBA75"/>
    <w:rsid w:val="FCFE9ADF"/>
    <w:rsid w:val="FCFF1379"/>
    <w:rsid w:val="FCFFB0AA"/>
    <w:rsid w:val="FD596FA2"/>
    <w:rsid w:val="FD5CD541"/>
    <w:rsid w:val="FD5F05F4"/>
    <w:rsid w:val="FD5FACD8"/>
    <w:rsid w:val="FD6AEC8C"/>
    <w:rsid w:val="FD6D5D89"/>
    <w:rsid w:val="FD6E07CC"/>
    <w:rsid w:val="FD6FF83F"/>
    <w:rsid w:val="FD7B29C5"/>
    <w:rsid w:val="FD7B7C7A"/>
    <w:rsid w:val="FD7E454E"/>
    <w:rsid w:val="FD7E5271"/>
    <w:rsid w:val="FD7F05E8"/>
    <w:rsid w:val="FD8F5C7F"/>
    <w:rsid w:val="FD9ED2DD"/>
    <w:rsid w:val="FDB584D3"/>
    <w:rsid w:val="FDB79133"/>
    <w:rsid w:val="FDB791AA"/>
    <w:rsid w:val="FDBC37B8"/>
    <w:rsid w:val="FDCFC9D0"/>
    <w:rsid w:val="FDD17407"/>
    <w:rsid w:val="FDD93579"/>
    <w:rsid w:val="FDDB37FB"/>
    <w:rsid w:val="FDDB61F4"/>
    <w:rsid w:val="FDE6CBC0"/>
    <w:rsid w:val="FDE95133"/>
    <w:rsid w:val="FDF4B608"/>
    <w:rsid w:val="FDF7933E"/>
    <w:rsid w:val="FDF7981C"/>
    <w:rsid w:val="FDF7BB38"/>
    <w:rsid w:val="FDFC3382"/>
    <w:rsid w:val="FDFEE2D5"/>
    <w:rsid w:val="FDFFC05D"/>
    <w:rsid w:val="FE3FED79"/>
    <w:rsid w:val="FE5BA81A"/>
    <w:rsid w:val="FE5F18D8"/>
    <w:rsid w:val="FE5F1F32"/>
    <w:rsid w:val="FE9E8A5B"/>
    <w:rsid w:val="FEAF816E"/>
    <w:rsid w:val="FEBF4AA8"/>
    <w:rsid w:val="FED6E053"/>
    <w:rsid w:val="FEEFC4C6"/>
    <w:rsid w:val="FEF72282"/>
    <w:rsid w:val="FEF758F3"/>
    <w:rsid w:val="FEF9FD89"/>
    <w:rsid w:val="FEFA0784"/>
    <w:rsid w:val="FEFB73CF"/>
    <w:rsid w:val="FEFD6F6F"/>
    <w:rsid w:val="FEFE3EE4"/>
    <w:rsid w:val="FEFEF2D6"/>
    <w:rsid w:val="FEFF023B"/>
    <w:rsid w:val="FEFF3CE3"/>
    <w:rsid w:val="FF1DD589"/>
    <w:rsid w:val="FF3B6E67"/>
    <w:rsid w:val="FF3FCC40"/>
    <w:rsid w:val="FF43A605"/>
    <w:rsid w:val="FF58F250"/>
    <w:rsid w:val="FF59393B"/>
    <w:rsid w:val="FF6D6E1C"/>
    <w:rsid w:val="FF75197C"/>
    <w:rsid w:val="FF7567E8"/>
    <w:rsid w:val="FF7A9E52"/>
    <w:rsid w:val="FF7F0ED2"/>
    <w:rsid w:val="FF7F2D74"/>
    <w:rsid w:val="FF8E6D0D"/>
    <w:rsid w:val="FF9F6F74"/>
    <w:rsid w:val="FFAC2956"/>
    <w:rsid w:val="FFAF23FD"/>
    <w:rsid w:val="FFAF3BBE"/>
    <w:rsid w:val="FFAF9AF6"/>
    <w:rsid w:val="FFB55E42"/>
    <w:rsid w:val="FFBA1BFD"/>
    <w:rsid w:val="FFBBB0BC"/>
    <w:rsid w:val="FFBC0B7D"/>
    <w:rsid w:val="FFBC20DB"/>
    <w:rsid w:val="FFBC2862"/>
    <w:rsid w:val="FFBCBBB0"/>
    <w:rsid w:val="FFBD240F"/>
    <w:rsid w:val="FFCAB786"/>
    <w:rsid w:val="FFD4D2CB"/>
    <w:rsid w:val="FFD9744F"/>
    <w:rsid w:val="FFDF1100"/>
    <w:rsid w:val="FFDF3F6F"/>
    <w:rsid w:val="FFDF8F8F"/>
    <w:rsid w:val="FFE71504"/>
    <w:rsid w:val="FFEB5E6A"/>
    <w:rsid w:val="FFED8080"/>
    <w:rsid w:val="FFEDEEA2"/>
    <w:rsid w:val="FFEED560"/>
    <w:rsid w:val="FFEEE28A"/>
    <w:rsid w:val="FFEEF932"/>
    <w:rsid w:val="FFEF153E"/>
    <w:rsid w:val="FFEF471C"/>
    <w:rsid w:val="FFEF5D1D"/>
    <w:rsid w:val="FFEF84EE"/>
    <w:rsid w:val="FFEF88FB"/>
    <w:rsid w:val="FFF41F52"/>
    <w:rsid w:val="FFF4356F"/>
    <w:rsid w:val="FFF5F60A"/>
    <w:rsid w:val="FFF6C865"/>
    <w:rsid w:val="FFF75041"/>
    <w:rsid w:val="FFF7D8A2"/>
    <w:rsid w:val="FFF957F3"/>
    <w:rsid w:val="FFF9F1F0"/>
    <w:rsid w:val="FFFB2C97"/>
    <w:rsid w:val="FFFB725F"/>
    <w:rsid w:val="FFFC2F87"/>
    <w:rsid w:val="FFFDCC00"/>
    <w:rsid w:val="FFFF1C1D"/>
    <w:rsid w:val="FFFF3BCC"/>
    <w:rsid w:val="FFFF4DFF"/>
    <w:rsid w:val="FFFF63F6"/>
    <w:rsid w:val="FFFF6F8E"/>
    <w:rsid w:val="FFFF98C2"/>
    <w:rsid w:val="FFFFA684"/>
    <w:rsid w:val="FFFFA918"/>
    <w:rsid w:val="FFFFC65E"/>
    <w:rsid w:val="FFFFD840"/>
    <w:rsid w:val="FFFFF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Default"/>
    <w:qFormat/>
    <w:uiPriority w:val="99"/>
    <w:pPr>
      <w:widowControl w:val="0"/>
      <w:autoSpaceDE w:val="0"/>
      <w:autoSpaceDN w:val="0"/>
      <w:adjustRightInd w:val="0"/>
    </w:pPr>
    <w:rPr>
      <w:rFonts w:ascii="宋体" w:hAnsi="@文星楷体" w:eastAsia="宋体" w:cs="宋体"/>
      <w:color w:val="000000"/>
      <w:sz w:val="24"/>
      <w:szCs w:val="24"/>
      <w:lang w:val="en-US" w:eastAsia="zh-CN" w:bidi="ar-SA"/>
    </w:r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99"/>
    <w:pPr>
      <w:spacing w:before="240" w:after="60"/>
      <w:ind w:firstLine="200" w:firstLineChars="200"/>
      <w:outlineLvl w:val="0"/>
    </w:pPr>
    <w:rPr>
      <w:rFonts w:ascii="Cambria" w:hAnsi="Cambria" w:cs="Cambria"/>
      <w:b/>
      <w:bCs/>
      <w:sz w:val="44"/>
      <w:szCs w:val="4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15039</Words>
  <Characters>15427</Characters>
  <Lines>0</Lines>
  <Paragraphs>0</Paragraphs>
  <TotalTime>2</TotalTime>
  <ScaleCrop>false</ScaleCrop>
  <LinksUpToDate>false</LinksUpToDate>
  <CharactersWithSpaces>15556</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2024-09-10T13:51:00Z</dcterms:created>
  <dc:creator>greatwall</dc:creator>
  <cp:lastModifiedBy>greatwall</cp:lastModifiedBy>
  <cp:lastPrinted>2024-12-27T01:45:00Z</cp:lastPrinted>
  <dcterms:modified xsi:type="dcterms:W3CDTF">2026-09-15T14:20:34Z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0F139B9A6D9E4A9E91DC52BB14D55F65_12</vt:lpwstr>
  </property>
</Properties>
</file>