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eastAsia" w:ascii="方正小标宋简体" w:eastAsia="方正小标宋简体"/>
          <w:color w:val="000000"/>
          <w:sz w:val="44"/>
          <w:szCs w:val="44"/>
        </w:rPr>
      </w:pPr>
      <w:r>
        <w:rPr>
          <w:rFonts w:hint="eastAsia" w:ascii="方正小标宋简体" w:eastAsia="方正小标宋简体"/>
          <w:b/>
          <w:bCs/>
          <w:color w:val="000000"/>
          <w:sz w:val="44"/>
          <w:szCs w:val="44"/>
        </w:rPr>
        <w:t>长春市科技创新条例</w:t>
      </w:r>
    </w:p>
    <w:p>
      <w:pPr>
        <w:jc w:val="center"/>
        <w:textAlignment w:val="baseline"/>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草案</w:t>
      </w:r>
      <w:bookmarkStart w:id="1" w:name="_GoBack"/>
      <w:bookmarkEnd w:id="1"/>
      <w:r>
        <w:rPr>
          <w:rFonts w:hint="eastAsia" w:ascii="仿宋_GB2312" w:eastAsia="仿宋_GB2312"/>
          <w:color w:val="000000"/>
          <w:sz w:val="32"/>
          <w:szCs w:val="32"/>
        </w:rPr>
        <w:t>）</w:t>
      </w:r>
    </w:p>
    <w:p>
      <w:pPr>
        <w:pStyle w:val="2"/>
        <w:spacing w:before="225" w:after="225" w:line="540" w:lineRule="exact"/>
        <w:jc w:val="center"/>
        <w:textAlignment w:val="baseline"/>
        <w:rPr>
          <w:rFonts w:ascii="黑体" w:hAnsi="黑体" w:eastAsia="黑体"/>
          <w:b w:val="0"/>
          <w:bCs w:val="0"/>
          <w:color w:val="000000"/>
          <w:sz w:val="32"/>
          <w:szCs w:val="32"/>
        </w:rPr>
      </w:pPr>
      <w:r>
        <w:rPr>
          <w:rFonts w:hint="eastAsia" w:ascii="黑体" w:hAnsi="黑体" w:eastAsia="黑体"/>
          <w:b w:val="0"/>
          <w:bCs w:val="0"/>
          <w:color w:val="000000"/>
          <w:sz w:val="32"/>
          <w:szCs w:val="32"/>
        </w:rPr>
        <w:t>第一章 总 则</w:t>
      </w:r>
    </w:p>
    <w:p>
      <w:pPr>
        <w:widowControl/>
        <w:shd w:val="clear" w:color="auto" w:fill="FFFFFF"/>
        <w:ind w:firstLine="643" w:firstLineChars="200"/>
        <w:textAlignment w:val="baseline"/>
        <w:rPr>
          <w:rStyle w:val="17"/>
          <w:rFonts w:hint="default"/>
          <w:b/>
          <w:bCs/>
        </w:rPr>
      </w:pPr>
    </w:p>
    <w:p>
      <w:pPr>
        <w:widowControl/>
        <w:shd w:val="clear" w:color="auto" w:fill="FFFFFF"/>
        <w:ind w:firstLine="643" w:firstLineChars="200"/>
        <w:textAlignment w:val="baseline"/>
        <w:rPr>
          <w:rFonts w:ascii="仿宋_GB2312" w:hAnsi="仿宋" w:eastAsia="仿宋_GB2312" w:cs="仿宋"/>
          <w:color w:val="000000"/>
          <w:sz w:val="32"/>
          <w:szCs w:val="32"/>
        </w:rPr>
      </w:pPr>
      <w:r>
        <w:rPr>
          <w:rStyle w:val="17"/>
          <w:rFonts w:hint="default"/>
          <w:b/>
          <w:bCs/>
        </w:rPr>
        <w:t xml:space="preserve">第一条 </w:t>
      </w:r>
      <w:r>
        <w:rPr>
          <w:rStyle w:val="20"/>
          <w:rFonts w:hint="eastAsia" w:hAnsi="仿宋" w:eastAsia="仿宋_GB2312" w:cs="仿宋"/>
        </w:rPr>
        <w:t>为了全面促进</w:t>
      </w:r>
      <w:r>
        <w:rPr>
          <w:rFonts w:hint="eastAsia" w:ascii="仿宋_GB2312" w:hAnsi="仿宋" w:eastAsia="仿宋_GB2312" w:cs="仿宋"/>
          <w:color w:val="000000"/>
          <w:sz w:val="32"/>
          <w:szCs w:val="32"/>
        </w:rPr>
        <w:t>科技创新，发挥科技第一生产力、创新第一动力、人才第一资源的作用，</w:t>
      </w:r>
      <w:r>
        <w:rPr>
          <w:rFonts w:hint="eastAsia" w:ascii="仿宋_GB2312" w:hAnsi="仿宋" w:eastAsia="仿宋_GB2312" w:cs="仿宋"/>
          <w:color w:val="000000"/>
          <w:sz w:val="32"/>
          <w:szCs w:val="32"/>
          <w:shd w:val="clear" w:color="auto" w:fill="FFFFFF"/>
        </w:rPr>
        <w:t>推动经济高质量发展和社会全面进步，根据</w:t>
      </w:r>
      <w:r>
        <w:rPr>
          <w:rStyle w:val="17"/>
          <w:rFonts w:hint="default" w:hAnsi="仿宋" w:cs="仿宋"/>
        </w:rPr>
        <w:t>《中华人民共和国科学技术进步法》《中华人民共和国促进科技成果转化法》等法律法规，结合本市实际，制定本条例。</w:t>
      </w:r>
      <w:r>
        <w:rPr>
          <w:rFonts w:hint="eastAsia" w:ascii="仿宋_GB2312" w:hAnsi="仿宋" w:eastAsia="仿宋_GB2312" w:cs="仿宋"/>
          <w:color w:val="000000"/>
          <w:sz w:val="32"/>
          <w:szCs w:val="32"/>
        </w:rPr>
        <w:tab/>
      </w:r>
    </w:p>
    <w:p>
      <w:pPr>
        <w:widowControl/>
        <w:shd w:val="clear" w:color="auto" w:fill="FFFFFF"/>
        <w:spacing w:line="360" w:lineRule="auto"/>
        <w:ind w:firstLine="643" w:firstLineChars="200"/>
        <w:textAlignment w:val="baseline"/>
        <w:rPr>
          <w:rFonts w:ascii="仿宋_GB2312" w:hAnsi="仿宋" w:eastAsia="仿宋_GB2312" w:cs="仿宋"/>
          <w:color w:val="000000"/>
          <w:sz w:val="32"/>
          <w:szCs w:val="32"/>
        </w:rPr>
      </w:pPr>
      <w:r>
        <w:rPr>
          <w:rStyle w:val="17"/>
          <w:rFonts w:hint="default"/>
          <w:b/>
          <w:bCs/>
        </w:rPr>
        <w:t xml:space="preserve">第二条 </w:t>
      </w:r>
      <w:r>
        <w:rPr>
          <w:rStyle w:val="17"/>
          <w:rFonts w:hint="default" w:hAnsi="仿宋" w:cs="仿宋"/>
        </w:rPr>
        <w:t>本条例适用于本市行政区域内的</w:t>
      </w:r>
      <w:r>
        <w:rPr>
          <w:rFonts w:hint="eastAsia" w:ascii="仿宋_GB2312" w:hAnsi="仿宋" w:eastAsia="仿宋_GB2312" w:cs="仿宋"/>
          <w:color w:val="000000"/>
          <w:sz w:val="32"/>
          <w:szCs w:val="32"/>
        </w:rPr>
        <w:t>科技</w:t>
      </w:r>
      <w:r>
        <w:rPr>
          <w:rStyle w:val="17"/>
          <w:rFonts w:hint="default" w:hAnsi="仿宋" w:cs="仿宋"/>
        </w:rPr>
        <w:t>创新及其相关活动。</w:t>
      </w:r>
    </w:p>
    <w:p>
      <w:pPr>
        <w:tabs>
          <w:tab w:val="left" w:pos="7087"/>
        </w:tabs>
        <w:ind w:firstLine="643" w:firstLineChars="200"/>
        <w:textAlignment w:val="baseline"/>
        <w:rPr>
          <w:rFonts w:ascii="仿宋_GB2312" w:hAnsi="仿宋" w:eastAsia="仿宋_GB2312" w:cs="仿宋"/>
          <w:color w:val="000000"/>
          <w:kern w:val="0"/>
          <w:sz w:val="32"/>
          <w:szCs w:val="32"/>
        </w:rPr>
      </w:pPr>
      <w:r>
        <w:rPr>
          <w:rStyle w:val="17"/>
          <w:rFonts w:hint="default" w:hAnsi="仿宋" w:cs="仿宋"/>
          <w:b/>
          <w:bCs/>
        </w:rPr>
        <w:t xml:space="preserve">第三条 </w:t>
      </w:r>
      <w:r>
        <w:rPr>
          <w:rFonts w:hint="eastAsia" w:ascii="仿宋_GB2312" w:hAnsi="仿宋" w:eastAsia="仿宋_GB2312" w:cs="仿宋"/>
          <w:color w:val="000000"/>
          <w:sz w:val="32"/>
          <w:highlight w:val="white"/>
        </w:rPr>
        <w:t>坚持创新在现代化建设全局中的核心地位，强化科技自立自强战略支撑，面向世界科技前沿、面向经济主战场、面向国家重大需求、面向人民生命健康</w:t>
      </w:r>
      <w:r>
        <w:rPr>
          <w:rFonts w:hint="eastAsia" w:ascii="仿宋_GB2312" w:hAnsi="仿宋" w:eastAsia="仿宋_GB2312" w:cs="仿宋"/>
          <w:color w:val="000000"/>
          <w:kern w:val="0"/>
          <w:sz w:val="32"/>
          <w:szCs w:val="32"/>
        </w:rPr>
        <w:t>，实施创新驱动发展战略，培</w:t>
      </w:r>
      <w:r>
        <w:rPr>
          <w:rFonts w:hint="eastAsia" w:ascii="仿宋_GB2312" w:hAnsi="仿宋" w:eastAsia="仿宋_GB2312" w:cs="仿宋"/>
          <w:color w:val="000000"/>
          <w:sz w:val="32"/>
          <w:szCs w:val="32"/>
        </w:rPr>
        <w:t>育技术创</w:t>
      </w:r>
      <w:r>
        <w:rPr>
          <w:rFonts w:hint="eastAsia" w:ascii="仿宋_GB2312" w:hAnsi="仿宋" w:eastAsia="仿宋_GB2312" w:cs="仿宋"/>
          <w:color w:val="000000"/>
          <w:kern w:val="0"/>
          <w:sz w:val="32"/>
          <w:szCs w:val="32"/>
        </w:rPr>
        <w:t>新主体，完善创新体系，促进创新成果转化，培养创新人才，优化创新环境，</w:t>
      </w:r>
      <w:r>
        <w:rPr>
          <w:rFonts w:hint="eastAsia" w:ascii="仿宋_GB2312" w:hAnsi="仿宋" w:eastAsia="仿宋_GB2312" w:cs="仿宋"/>
          <w:color w:val="000000"/>
          <w:sz w:val="32"/>
          <w:szCs w:val="32"/>
        </w:rPr>
        <w:t>加快建设</w:t>
      </w:r>
      <w:r>
        <w:rPr>
          <w:rFonts w:hint="eastAsia" w:ascii="仿宋_GB2312" w:hAnsi="仿宋" w:eastAsia="仿宋_GB2312" w:cs="仿宋"/>
          <w:sz w:val="32"/>
          <w:szCs w:val="32"/>
        </w:rPr>
        <w:t>国家区域创新中心。</w:t>
      </w:r>
    </w:p>
    <w:p>
      <w:pPr>
        <w:widowControl/>
        <w:ind w:firstLine="643" w:firstLineChars="200"/>
        <w:jc w:val="left"/>
        <w:textAlignment w:val="baseline"/>
        <w:rPr>
          <w:rFonts w:ascii="仿宋_GB2312" w:hAnsi="仿宋" w:eastAsia="仿宋_GB2312" w:cs="仿宋"/>
          <w:color w:val="000000"/>
          <w:sz w:val="32"/>
          <w:szCs w:val="32"/>
          <w:shd w:val="clear" w:color="auto" w:fill="FFFFFF"/>
        </w:rPr>
      </w:pPr>
      <w:r>
        <w:rPr>
          <w:rStyle w:val="17"/>
          <w:rFonts w:hint="default"/>
          <w:b/>
          <w:bCs/>
        </w:rPr>
        <w:t xml:space="preserve">第四条 </w:t>
      </w:r>
      <w:r>
        <w:rPr>
          <w:rStyle w:val="17"/>
          <w:rFonts w:hint="default" w:hAnsi="仿宋" w:cs="仿宋"/>
        </w:rPr>
        <w:t>市、县（市）区人民政府应当将</w:t>
      </w:r>
      <w:r>
        <w:rPr>
          <w:rFonts w:hint="eastAsia" w:ascii="仿宋_GB2312" w:hAnsi="仿宋" w:eastAsia="仿宋_GB2312" w:cs="仿宋"/>
          <w:color w:val="000000"/>
          <w:sz w:val="32"/>
          <w:szCs w:val="32"/>
        </w:rPr>
        <w:t>科技</w:t>
      </w:r>
      <w:r>
        <w:rPr>
          <w:rStyle w:val="17"/>
          <w:rFonts w:hint="default" w:hAnsi="仿宋" w:cs="仿宋"/>
        </w:rPr>
        <w:t>创新纳入国民经济和社会发展规划，</w:t>
      </w:r>
      <w:r>
        <w:rPr>
          <w:rFonts w:hint="eastAsia" w:ascii="仿宋_GB2312" w:hAnsi="仿宋" w:eastAsia="仿宋_GB2312" w:cs="仿宋"/>
          <w:color w:val="000000"/>
          <w:sz w:val="32"/>
          <w:szCs w:val="32"/>
        </w:rPr>
        <w:t>优化科技创新资源配置，加大科技创新投入力度，为各类创新主体提供良好环境。</w:t>
      </w:r>
    </w:p>
    <w:p>
      <w:pPr>
        <w:widowControl/>
        <w:ind w:firstLine="640" w:firstLineChars="200"/>
        <w:jc w:val="left"/>
        <w:textAlignment w:val="baseline"/>
        <w:rPr>
          <w:rFonts w:ascii="仿宋_GB2312" w:hAnsi="仿宋" w:eastAsia="仿宋_GB2312" w:cs="仿宋"/>
          <w:color w:val="000000"/>
          <w:sz w:val="32"/>
          <w:szCs w:val="32"/>
          <w:shd w:val="clear" w:color="auto" w:fill="FFFFFF"/>
        </w:rPr>
      </w:pPr>
      <w:r>
        <w:rPr>
          <w:rStyle w:val="17"/>
          <w:rFonts w:hint="default" w:hAnsi="仿宋" w:cs="仿宋"/>
        </w:rPr>
        <w:t>市、县（市）区</w:t>
      </w:r>
      <w:r>
        <w:rPr>
          <w:rFonts w:hint="eastAsia" w:ascii="仿宋_GB2312" w:hAnsi="仿宋" w:eastAsia="仿宋_GB2312" w:cs="仿宋"/>
          <w:color w:val="000000"/>
          <w:kern w:val="0"/>
          <w:sz w:val="32"/>
          <w:szCs w:val="32"/>
        </w:rPr>
        <w:t>人民政府应当</w:t>
      </w:r>
      <w:r>
        <w:rPr>
          <w:rFonts w:hint="eastAsia" w:ascii="仿宋_GB2312" w:hAnsi="仿宋" w:eastAsia="仿宋_GB2312" w:cs="仿宋"/>
          <w:color w:val="000000"/>
          <w:sz w:val="32"/>
          <w:szCs w:val="32"/>
        </w:rPr>
        <w:t>将科技创</w:t>
      </w:r>
      <w:r>
        <w:rPr>
          <w:rFonts w:hint="eastAsia" w:ascii="仿宋_GB2312" w:hAnsi="仿宋" w:eastAsia="仿宋_GB2312" w:cs="仿宋"/>
          <w:color w:val="000000"/>
          <w:sz w:val="32"/>
          <w:szCs w:val="32"/>
          <w:shd w:val="clear" w:color="auto" w:fill="FFFFFF"/>
        </w:rPr>
        <w:t>新经费纳入本级财政预算</w:t>
      </w:r>
      <w:r>
        <w:rPr>
          <w:rFonts w:hint="eastAsia" w:ascii="仿宋_GB2312" w:hAnsi="仿宋" w:eastAsia="仿宋_GB2312" w:cs="仿宋"/>
          <w:color w:val="000000"/>
          <w:kern w:val="0"/>
          <w:sz w:val="32"/>
          <w:szCs w:val="32"/>
        </w:rPr>
        <w:t>。</w:t>
      </w:r>
    </w:p>
    <w:p>
      <w:pPr>
        <w:widowControl/>
        <w:ind w:firstLine="643" w:firstLineChars="200"/>
        <w:jc w:val="left"/>
        <w:textAlignment w:val="baseline"/>
        <w:rPr>
          <w:rFonts w:ascii="仿宋_GB2312" w:hAnsi="仿宋" w:eastAsia="仿宋_GB2312" w:cs="仿宋"/>
          <w:color w:val="000000"/>
          <w:sz w:val="32"/>
          <w:szCs w:val="32"/>
        </w:rPr>
      </w:pPr>
      <w:r>
        <w:rPr>
          <w:rStyle w:val="17"/>
          <w:rFonts w:hint="default" w:hAnsi="仿宋"/>
          <w:b/>
          <w:bCs/>
        </w:rPr>
        <w:t>第</w:t>
      </w:r>
      <w:r>
        <w:rPr>
          <w:rStyle w:val="17"/>
          <w:rFonts w:hint="default" w:hAnsi="仿宋"/>
          <w:b/>
        </w:rPr>
        <w:t>五条</w:t>
      </w:r>
      <w:r>
        <w:rPr>
          <w:rFonts w:ascii="仿宋_GB2312" w:hAnsi="黑体" w:eastAsia="仿宋_GB2312" w:cs="黑体"/>
          <w:color w:val="1D41D5"/>
          <w:kern w:val="0"/>
          <w:sz w:val="32"/>
          <w:szCs w:val="32"/>
        </w:rPr>
        <w:t xml:space="preserve"> </w:t>
      </w:r>
      <w:r>
        <w:rPr>
          <w:rStyle w:val="17"/>
          <w:rFonts w:hint="default" w:hAnsi="仿宋" w:cs="仿宋"/>
        </w:rPr>
        <w:t>市、县（市）区</w:t>
      </w:r>
      <w:r>
        <w:rPr>
          <w:rFonts w:hint="eastAsia" w:ascii="仿宋_GB2312" w:hAnsi="仿宋" w:eastAsia="仿宋_GB2312" w:cs="仿宋"/>
          <w:color w:val="000000"/>
          <w:sz w:val="32"/>
          <w:szCs w:val="32"/>
        </w:rPr>
        <w:t>人民政府科技行政部门负责本行政区域内科技创新工作的统筹协调、指导服务和监督管理。</w:t>
      </w:r>
    </w:p>
    <w:p>
      <w:pPr>
        <w:widowControl/>
        <w:ind w:firstLine="640" w:firstLineChars="200"/>
        <w:jc w:val="left"/>
        <w:textAlignment w:val="baseline"/>
        <w:rPr>
          <w:rFonts w:ascii="仿宋_GB2312" w:hAnsi="仿宋" w:eastAsia="仿宋_GB2312" w:cs="仿宋"/>
          <w:color w:val="000000"/>
          <w:sz w:val="32"/>
          <w:szCs w:val="32"/>
        </w:rPr>
      </w:pPr>
      <w:r>
        <w:rPr>
          <w:rFonts w:hint="eastAsia" w:ascii="仿宋_GB2312" w:hAnsi="仿宋" w:eastAsia="仿宋_GB2312" w:cs="仿宋"/>
          <w:color w:val="000000"/>
          <w:sz w:val="32"/>
          <w:szCs w:val="32"/>
        </w:rPr>
        <w:t>负责组织编制科技创新发展规划，报本级人民政府批准后组织实施。</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sz w:val="32"/>
          <w:szCs w:val="32"/>
        </w:rPr>
        <w:t>负责制定科技创新计划并组织实施，定期向社会公布科技创新项</w:t>
      </w:r>
      <w:r>
        <w:rPr>
          <w:rFonts w:hint="eastAsia" w:ascii="仿宋_GB2312" w:hAnsi="仿宋" w:eastAsia="仿宋_GB2312" w:cs="仿宋"/>
          <w:color w:val="000000"/>
          <w:kern w:val="0"/>
          <w:sz w:val="32"/>
          <w:szCs w:val="32"/>
        </w:rPr>
        <w:t>目指南，为开展</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创新提供指引。</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建立</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创新统计制度，定期向社会公布本行政区域</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创新主要统计指标，监测、分析和评价</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创新发展状况。</w:t>
      </w:r>
    </w:p>
    <w:p>
      <w:pPr>
        <w:widowControl/>
        <w:shd w:val="clear" w:color="auto" w:fill="FFFFFF"/>
        <w:spacing w:line="360" w:lineRule="atLeast"/>
        <w:ind w:firstLine="643" w:firstLineChars="200"/>
        <w:jc w:val="left"/>
        <w:textAlignment w:val="baseline"/>
        <w:rPr>
          <w:rFonts w:ascii="仿宋_GB2312" w:hAnsi="仿宋" w:eastAsia="仿宋_GB2312" w:cs="仿宋"/>
          <w:color w:val="000000"/>
          <w:sz w:val="32"/>
          <w:szCs w:val="32"/>
        </w:rPr>
      </w:pPr>
      <w:r>
        <w:rPr>
          <w:rFonts w:hint="eastAsia" w:ascii="仿宋_GB2312" w:hAnsi="仿宋" w:eastAsia="仿宋_GB2312" w:cs="仿宋"/>
          <w:b/>
          <w:bCs/>
          <w:color w:val="000000"/>
          <w:kern w:val="0"/>
          <w:sz w:val="32"/>
          <w:szCs w:val="32"/>
        </w:rPr>
        <w:t>第</w:t>
      </w:r>
      <w:r>
        <w:rPr>
          <w:rStyle w:val="17"/>
          <w:rFonts w:hint="default" w:hAnsi="仿宋" w:cs="仿宋"/>
          <w:b/>
          <w:bCs/>
        </w:rPr>
        <w:t>六</w:t>
      </w:r>
      <w:r>
        <w:rPr>
          <w:rFonts w:hint="eastAsia" w:ascii="仿宋_GB2312" w:hAnsi="仿宋" w:eastAsia="仿宋_GB2312" w:cs="仿宋"/>
          <w:b/>
          <w:bCs/>
          <w:color w:val="000000"/>
          <w:kern w:val="0"/>
          <w:sz w:val="32"/>
          <w:szCs w:val="32"/>
        </w:rPr>
        <w:t xml:space="preserve">条 </w:t>
      </w:r>
      <w:r>
        <w:rPr>
          <w:rFonts w:hint="eastAsia" w:ascii="仿宋_GB2312" w:hAnsi="仿宋" w:eastAsia="仿宋_GB2312" w:cs="仿宋"/>
          <w:color w:val="000000"/>
          <w:sz w:val="32"/>
          <w:szCs w:val="32"/>
        </w:rPr>
        <w:t>发展改革、教育、工业和信息化、公安、财政、人力资源和社会保障、审计、卫生健康、自然资源、住房和城乡建设、农业农村、商务、国有资产管理、地方金融监管、市场监督管理、知识产权及其他有关部门按照各自职责负责与科技创新的相关工作。</w:t>
      </w:r>
    </w:p>
    <w:p>
      <w:pPr>
        <w:widowControl/>
        <w:shd w:val="clear" w:color="auto" w:fill="FFFFFF"/>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第七条 </w:t>
      </w:r>
      <w:r>
        <w:rPr>
          <w:rFonts w:hint="eastAsia" w:ascii="仿宋_GB2312" w:hAnsi="仿宋" w:eastAsia="仿宋_GB2312" w:cs="仿宋"/>
          <w:color w:val="000000"/>
          <w:kern w:val="0"/>
          <w:sz w:val="32"/>
          <w:szCs w:val="32"/>
        </w:rPr>
        <w:t>企业、高等院校、研究开发机构、科技服务机构以及行业协会、商会、学术联盟等社会组织应当发挥在创新链相关环节的作用，积极实施科技创新活动。</w:t>
      </w:r>
      <w:r>
        <w:rPr>
          <w:rFonts w:ascii="仿宋_GB2312" w:hAnsi="仿宋" w:eastAsia="仿宋_GB2312" w:cs="仿宋"/>
          <w:color w:val="000000"/>
          <w:kern w:val="0"/>
          <w:sz w:val="32"/>
          <w:szCs w:val="32"/>
        </w:rPr>
        <w:t xml:space="preserve"> </w:t>
      </w:r>
    </w:p>
    <w:p>
      <w:pPr>
        <w:widowControl/>
        <w:shd w:val="clear" w:color="auto" w:fill="FFFFFF"/>
        <w:ind w:firstLine="643" w:firstLineChars="200"/>
        <w:textAlignment w:val="baseline"/>
        <w:rPr>
          <w:rStyle w:val="17"/>
          <w:rFonts w:hint="default" w:hAnsi="仿宋" w:cs="仿宋"/>
          <w:b/>
        </w:rPr>
      </w:pPr>
      <w:r>
        <w:rPr>
          <w:rFonts w:hint="eastAsia" w:ascii="仿宋_GB2312" w:hAnsi="仿宋" w:eastAsia="仿宋_GB2312" w:cs="仿宋"/>
          <w:b/>
          <w:bCs/>
          <w:color w:val="000000"/>
          <w:kern w:val="0"/>
          <w:sz w:val="32"/>
          <w:szCs w:val="32"/>
        </w:rPr>
        <w:t xml:space="preserve">第八条 </w:t>
      </w:r>
      <w:r>
        <w:rPr>
          <w:rStyle w:val="17"/>
          <w:rFonts w:hint="default" w:hAnsi="仿宋" w:cs="仿宋"/>
        </w:rPr>
        <w:t>市、县（市）区</w:t>
      </w:r>
      <w:r>
        <w:rPr>
          <w:rFonts w:hint="eastAsia" w:ascii="仿宋_GB2312" w:hAnsi="仿宋" w:eastAsia="仿宋_GB2312" w:cs="仿宋"/>
          <w:color w:val="000000"/>
          <w:kern w:val="0"/>
          <w:sz w:val="32"/>
          <w:szCs w:val="32"/>
        </w:rPr>
        <w:t>人民政府应当建立</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创新工作部门协调机制，研究解决</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创新工作中的重大问题，推动</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创新措施落实。</w:t>
      </w:r>
      <w:r>
        <w:rPr>
          <w:rStyle w:val="17"/>
          <w:rFonts w:hint="default" w:hAnsi="仿宋" w:cs="仿宋"/>
        </w:rPr>
        <w:tab/>
      </w:r>
    </w:p>
    <w:p>
      <w:pPr>
        <w:widowControl/>
        <w:shd w:val="clear" w:color="auto" w:fill="FFFFFF"/>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第九条 </w:t>
      </w:r>
      <w:r>
        <w:rPr>
          <w:rFonts w:hint="eastAsia" w:ascii="仿宋_GB2312" w:hAnsi="仿宋" w:eastAsia="仿宋_GB2312" w:cs="仿宋"/>
          <w:color w:val="000000"/>
          <w:kern w:val="0"/>
          <w:sz w:val="32"/>
          <w:szCs w:val="32"/>
        </w:rPr>
        <w:t>市人民政府应当建立和完善促进</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创新工作考核制度，定期对所辖县级人民政府及有关部门</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创新目标完成情况进行考核。</w:t>
      </w:r>
    </w:p>
    <w:p>
      <w:pPr>
        <w:widowControl/>
        <w:shd w:val="clear" w:color="auto" w:fill="FFFFFF"/>
        <w:ind w:firstLine="643" w:firstLineChars="200"/>
        <w:textAlignment w:val="baseline"/>
        <w:rPr>
          <w:rStyle w:val="17"/>
          <w:rFonts w:hint="default" w:hAnsi="仿宋" w:cs="仿宋"/>
        </w:rPr>
      </w:pPr>
      <w:r>
        <w:rPr>
          <w:rStyle w:val="17"/>
          <w:rFonts w:hint="default" w:hAnsi="仿宋" w:cs="仿宋"/>
          <w:b/>
          <w:bCs/>
        </w:rPr>
        <w:t xml:space="preserve">第十条 </w:t>
      </w:r>
      <w:r>
        <w:rPr>
          <w:rStyle w:val="17"/>
          <w:rFonts w:hint="default" w:hAnsi="仿宋" w:cs="仿宋"/>
        </w:rPr>
        <w:t>市人民政府应当定期向市人民代表大会常务委员会报告本条例的执行情况。</w:t>
      </w:r>
    </w:p>
    <w:p>
      <w:pPr>
        <w:widowControl/>
        <w:shd w:val="clear" w:color="auto" w:fill="FFFFFF"/>
        <w:ind w:firstLine="640" w:firstLineChars="200"/>
        <w:textAlignment w:val="baseline"/>
        <w:rPr>
          <w:rFonts w:ascii="仿宋_GB2312" w:hAnsi="仿宋" w:eastAsia="仿宋_GB2312" w:cs="仿宋"/>
          <w:color w:val="000000"/>
          <w:sz w:val="32"/>
          <w:szCs w:val="32"/>
        </w:rPr>
      </w:pPr>
      <w:r>
        <w:rPr>
          <w:rStyle w:val="17"/>
          <w:rFonts w:hint="default" w:hAnsi="仿宋" w:cs="仿宋"/>
        </w:rPr>
        <w:t>市人民代表大会常务委员会应当定期开展对</w:t>
      </w:r>
      <w:r>
        <w:rPr>
          <w:rFonts w:hint="eastAsia" w:ascii="仿宋_GB2312" w:hAnsi="仿宋" w:eastAsia="仿宋_GB2312" w:cs="仿宋"/>
          <w:color w:val="000000"/>
          <w:sz w:val="32"/>
          <w:szCs w:val="32"/>
        </w:rPr>
        <w:t>科技</w:t>
      </w:r>
      <w:r>
        <w:rPr>
          <w:rStyle w:val="17"/>
          <w:rFonts w:hint="default" w:hAnsi="仿宋" w:cs="仿宋"/>
        </w:rPr>
        <w:t>创新工作的监督。</w:t>
      </w:r>
      <w:r>
        <w:rPr>
          <w:rFonts w:hint="eastAsia" w:ascii="仿宋_GB2312" w:hAnsi="仿宋" w:eastAsia="仿宋_GB2312" w:cs="仿宋"/>
          <w:color w:val="000000"/>
          <w:sz w:val="32"/>
          <w:szCs w:val="32"/>
        </w:rPr>
        <w:tab/>
      </w:r>
    </w:p>
    <w:p>
      <w:pPr>
        <w:pStyle w:val="2"/>
        <w:spacing w:before="225" w:after="225" w:line="540" w:lineRule="exact"/>
        <w:jc w:val="center"/>
        <w:textAlignment w:val="baseline"/>
        <w:rPr>
          <w:rFonts w:ascii="黑体" w:hAnsi="黑体" w:eastAsia="黑体"/>
          <w:b w:val="0"/>
          <w:bCs w:val="0"/>
          <w:color w:val="000000"/>
          <w:sz w:val="32"/>
          <w:szCs w:val="32"/>
        </w:rPr>
      </w:pPr>
      <w:r>
        <w:rPr>
          <w:rFonts w:hint="eastAsia" w:ascii="黑体" w:hAnsi="黑体" w:eastAsia="黑体"/>
          <w:b w:val="0"/>
          <w:bCs w:val="0"/>
          <w:color w:val="000000"/>
          <w:sz w:val="32"/>
          <w:szCs w:val="32"/>
        </w:rPr>
        <w:t xml:space="preserve">第二章 </w:t>
      </w:r>
      <w:r>
        <w:rPr>
          <w:rFonts w:ascii="黑体" w:hAnsi="黑体" w:eastAsia="黑体"/>
          <w:b w:val="0"/>
          <w:bCs w:val="0"/>
          <w:color w:val="000000"/>
          <w:sz w:val="32"/>
          <w:szCs w:val="32"/>
        </w:rPr>
        <w:t xml:space="preserve"> </w:t>
      </w:r>
      <w:r>
        <w:rPr>
          <w:rFonts w:hint="eastAsia" w:ascii="黑体" w:hAnsi="黑体" w:eastAsia="黑体"/>
          <w:b w:val="0"/>
          <w:bCs w:val="0"/>
          <w:color w:val="000000"/>
          <w:sz w:val="32"/>
          <w:szCs w:val="32"/>
        </w:rPr>
        <w:t>研究与开发</w:t>
      </w:r>
    </w:p>
    <w:p/>
    <w:p>
      <w:pPr>
        <w:spacing w:line="360" w:lineRule="auto"/>
        <w:ind w:firstLine="643" w:firstLineChars="200"/>
        <w:textAlignment w:val="baseline"/>
        <w:rPr>
          <w:rStyle w:val="17"/>
          <w:rFonts w:hint="default" w:hAnsi="仿宋"/>
        </w:rPr>
      </w:pPr>
      <w:r>
        <w:rPr>
          <w:rStyle w:val="17"/>
          <w:rFonts w:hint="default" w:hAnsi="仿宋"/>
          <w:b/>
          <w:bCs/>
        </w:rPr>
        <w:t xml:space="preserve">第十一条 </w:t>
      </w:r>
      <w:r>
        <w:rPr>
          <w:rStyle w:val="17"/>
          <w:rFonts w:hint="default" w:hAnsi="仿宋"/>
        </w:rPr>
        <w:t>鼓励企业、高等院校、研究开发机构、社会组织以及科技人员开展基础研究和应用基础研究，提升原始创新能力，优化学科和研发布局，推进学科交叉融合，自由探索未知科学问题，发现和开拓新的知识领域，完善共性基础技术供给体系，增强本市科技创新策源地功能。</w:t>
      </w:r>
    </w:p>
    <w:p>
      <w:pPr>
        <w:tabs>
          <w:tab w:val="left" w:pos="7087"/>
        </w:tabs>
        <w:ind w:firstLine="640" w:firstLineChars="200"/>
        <w:textAlignment w:val="baseline"/>
        <w:rPr>
          <w:rFonts w:ascii="仿宋_GB2312" w:hAnsi="仿宋" w:eastAsia="仿宋_GB2312" w:cs="Times New Roman"/>
          <w:sz w:val="32"/>
          <w:szCs w:val="32"/>
          <w:lang w:bidi="ar"/>
        </w:rPr>
      </w:pPr>
      <w:r>
        <w:rPr>
          <w:rFonts w:hint="eastAsia" w:ascii="仿宋_GB2312" w:hAnsi="仿宋" w:eastAsia="仿宋_GB2312" w:cs="Times New Roman"/>
          <w:sz w:val="32"/>
          <w:szCs w:val="32"/>
          <w:lang w:bidi="ar"/>
        </w:rPr>
        <w:t>政府设立的企业、高等院校、研究开发机构应当发挥科技创新引领作用，布局和开展基础研究。</w:t>
      </w:r>
    </w:p>
    <w:p>
      <w:pPr>
        <w:tabs>
          <w:tab w:val="left" w:pos="7087"/>
        </w:tabs>
        <w:ind w:firstLine="640" w:firstLineChars="200"/>
        <w:textAlignment w:val="baseline"/>
        <w:rPr>
          <w:rStyle w:val="17"/>
          <w:rFonts w:hint="default"/>
        </w:rPr>
      </w:pPr>
      <w:r>
        <w:rPr>
          <w:rStyle w:val="17"/>
          <w:rFonts w:hint="default"/>
        </w:rPr>
        <w:t>支持企业独立或者联合高等院校、研究开发机构等共建研发机构和联合实验室，开展面向行业共性问题的应用基础研究。</w:t>
      </w:r>
    </w:p>
    <w:p>
      <w:pPr>
        <w:widowControl/>
        <w:shd w:val="clear" w:color="auto" w:fill="FFFFFF"/>
        <w:ind w:firstLine="643" w:firstLineChars="200"/>
        <w:jc w:val="left"/>
        <w:textAlignment w:val="baseline"/>
        <w:rPr>
          <w:rStyle w:val="17"/>
          <w:rFonts w:hint="default"/>
        </w:rPr>
      </w:pPr>
      <w:r>
        <w:rPr>
          <w:rStyle w:val="17"/>
          <w:rFonts w:hint="default"/>
          <w:b/>
          <w:bCs/>
        </w:rPr>
        <w:t>第十二条</w:t>
      </w:r>
      <w:r>
        <w:rPr>
          <w:rStyle w:val="17"/>
          <w:rFonts w:hint="default" w:ascii="黑体" w:hAnsi="黑体" w:eastAsia="黑体" w:cs="黑体"/>
          <w:b/>
          <w:bCs/>
          <w:color w:val="1D41D5"/>
        </w:rPr>
        <w:t xml:space="preserve"> </w:t>
      </w:r>
      <w:r>
        <w:rPr>
          <w:rStyle w:val="17"/>
          <w:rFonts w:hint="default"/>
        </w:rPr>
        <w:t>市人民政府设立市自然科学基金或联合基金，为基础研究和应用基础研究提供支持，增强原始创新能力和关键核心技术供给能力。</w:t>
      </w:r>
    </w:p>
    <w:p>
      <w:pPr>
        <w:spacing w:line="360" w:lineRule="auto"/>
        <w:ind w:firstLine="643" w:firstLineChars="200"/>
        <w:textAlignment w:val="baseline"/>
        <w:rPr>
          <w:rStyle w:val="17"/>
          <w:rFonts w:hint="default"/>
        </w:rPr>
      </w:pPr>
      <w:r>
        <w:rPr>
          <w:rStyle w:val="17"/>
          <w:rFonts w:hint="default"/>
          <w:b/>
          <w:bCs/>
        </w:rPr>
        <w:t xml:space="preserve">第十三条 </w:t>
      </w:r>
      <w:r>
        <w:rPr>
          <w:rStyle w:val="17"/>
          <w:rFonts w:hint="default"/>
        </w:rPr>
        <w:t>支持企业及其他社会力量通过设立基金、捐赠等方式投入基础研究和应用基础研究。</w:t>
      </w:r>
    </w:p>
    <w:p>
      <w:pPr>
        <w:spacing w:line="360" w:lineRule="auto"/>
        <w:ind w:firstLine="643" w:firstLineChars="200"/>
        <w:textAlignment w:val="baseline"/>
        <w:rPr>
          <w:rStyle w:val="17"/>
          <w:rFonts w:hint="default"/>
        </w:rPr>
      </w:pPr>
      <w:r>
        <w:rPr>
          <w:rFonts w:hint="eastAsia" w:ascii="仿宋" w:hAnsi="仿宋" w:eastAsia="仿宋" w:cs="仿宋"/>
          <w:b/>
          <w:bCs/>
          <w:color w:val="000000"/>
          <w:kern w:val="0"/>
          <w:sz w:val="32"/>
          <w:szCs w:val="32"/>
        </w:rPr>
        <w:t>第十四条</w:t>
      </w:r>
      <w:r>
        <w:rPr>
          <w:rFonts w:hint="eastAsia" w:ascii="仿宋" w:hAnsi="仿宋" w:eastAsia="仿宋" w:cs="仿宋"/>
          <w:b/>
          <w:bCs/>
          <w:kern w:val="0"/>
          <w:sz w:val="32"/>
          <w:szCs w:val="32"/>
        </w:rPr>
        <w:t xml:space="preserve"> </w:t>
      </w:r>
      <w:r>
        <w:rPr>
          <w:rStyle w:val="17"/>
          <w:rFonts w:hint="default"/>
        </w:rPr>
        <w:t>市人民政府支持企业、高等院校、研究开发机构以及科技人员聚焦汽车、高端装备、光电信息、生物医药与健康、新材料、人工智能、数字经济、新能源、绿色低碳等关键核心技术领域，组织实施技术攻关，加强产学研合作，突破关键核心技术瓶颈，提升产业技术供给能力。</w:t>
      </w:r>
    </w:p>
    <w:p>
      <w:pPr>
        <w:spacing w:line="360" w:lineRule="auto"/>
        <w:ind w:firstLine="640" w:firstLineChars="200"/>
        <w:textAlignment w:val="baseline"/>
        <w:rPr>
          <w:rStyle w:val="17"/>
          <w:rFonts w:hint="default"/>
          <w:color w:val="FF0000"/>
        </w:rPr>
      </w:pPr>
      <w:r>
        <w:rPr>
          <w:rStyle w:val="17"/>
          <w:rFonts w:hint="default"/>
        </w:rPr>
        <w:t>支持现代农业领域科技创新，加强各类种质资源收集、筛选、发掘与创新利用，开发农业高效、绿色生产关键技术，开发黑土地保护性耕作与耕地质量保护技术，开发农产品安全与标准化生产等技术。</w:t>
      </w:r>
    </w:p>
    <w:p>
      <w:pPr>
        <w:spacing w:line="360" w:lineRule="auto"/>
        <w:ind w:firstLine="640" w:firstLineChars="200"/>
        <w:textAlignment w:val="baseline"/>
        <w:rPr>
          <w:rStyle w:val="17"/>
          <w:rFonts w:hint="default"/>
        </w:rPr>
      </w:pPr>
      <w:r>
        <w:rPr>
          <w:rStyle w:val="17"/>
          <w:rFonts w:hint="default"/>
        </w:rPr>
        <w:t>对于涉及国家利益和社会公共利益的重大技术攻关项目，市人民政府可以通过下达指令性任务等方式，组织关键核心技术攻关。</w:t>
      </w:r>
    </w:p>
    <w:p>
      <w:pPr>
        <w:spacing w:line="360" w:lineRule="auto"/>
        <w:ind w:firstLine="643" w:firstLineChars="200"/>
        <w:textAlignment w:val="baseline"/>
        <w:rPr>
          <w:rStyle w:val="17"/>
          <w:rFonts w:hint="default"/>
        </w:rPr>
      </w:pPr>
      <w:r>
        <w:rPr>
          <w:rFonts w:hint="eastAsia" w:ascii="仿宋" w:hAnsi="仿宋" w:eastAsia="仿宋" w:cs="仿宋"/>
          <w:b/>
          <w:bCs/>
          <w:color w:val="000000"/>
          <w:kern w:val="0"/>
          <w:sz w:val="32"/>
          <w:szCs w:val="32"/>
        </w:rPr>
        <w:t>第</w:t>
      </w:r>
      <w:r>
        <w:rPr>
          <w:rStyle w:val="17"/>
          <w:rFonts w:hint="default" w:ascii="仿宋" w:hAnsi="仿宋" w:eastAsia="仿宋" w:cs="仿宋"/>
          <w:b/>
          <w:bCs/>
        </w:rPr>
        <w:t>十五</w:t>
      </w:r>
      <w:r>
        <w:rPr>
          <w:rFonts w:hint="eastAsia" w:ascii="仿宋" w:hAnsi="仿宋" w:eastAsia="仿宋" w:cs="仿宋"/>
          <w:b/>
          <w:bCs/>
          <w:color w:val="000000"/>
          <w:kern w:val="0"/>
          <w:sz w:val="32"/>
          <w:szCs w:val="32"/>
        </w:rPr>
        <w:t xml:space="preserve">条 </w:t>
      </w:r>
      <w:r>
        <w:rPr>
          <w:rStyle w:val="17"/>
          <w:rFonts w:hint="default" w:ascii="仿宋" w:hAnsi="仿宋" w:eastAsia="仿宋" w:cs="仿宋"/>
        </w:rPr>
        <w:t>市</w:t>
      </w:r>
      <w:r>
        <w:rPr>
          <w:rStyle w:val="17"/>
          <w:rFonts w:hint="default"/>
        </w:rPr>
        <w:t>人民政府应当支持基础研究和应用基础研究平台建设，落地本市的国家重大平台，优先列入重点项目建设计划，在用地保障、财政资金、人才引进、出入境管理、注册登记、信息服务、成果转化、运营管理自主权、生活配套设施建设等方面给予支持。</w:t>
      </w:r>
    </w:p>
    <w:p>
      <w:pPr>
        <w:spacing w:line="360" w:lineRule="auto"/>
        <w:ind w:firstLine="640" w:firstLineChars="200"/>
        <w:textAlignment w:val="baseline"/>
        <w:rPr>
          <w:color w:val="000000"/>
          <w:sz w:val="32"/>
        </w:rPr>
      </w:pPr>
      <w:r>
        <w:rPr>
          <w:rStyle w:val="17"/>
          <w:rFonts w:hint="default"/>
        </w:rPr>
        <w:t>支持企业与域内外高等院校、研究开发机构共建高水平的科技创新平台。</w:t>
      </w:r>
    </w:p>
    <w:p>
      <w:pPr>
        <w:spacing w:line="360" w:lineRule="auto"/>
        <w:ind w:firstLine="643" w:firstLineChars="200"/>
        <w:textAlignment w:val="baseline"/>
        <w:rPr>
          <w:rStyle w:val="17"/>
          <w:rFonts w:hint="default"/>
        </w:rPr>
      </w:pPr>
      <w:r>
        <w:rPr>
          <w:rFonts w:hint="eastAsia" w:ascii="仿宋" w:hAnsi="仿宋" w:eastAsia="仿宋" w:cs="仿宋"/>
          <w:b/>
          <w:bCs/>
          <w:color w:val="000000"/>
          <w:kern w:val="0"/>
          <w:sz w:val="32"/>
          <w:szCs w:val="32"/>
        </w:rPr>
        <w:t>第</w:t>
      </w:r>
      <w:r>
        <w:rPr>
          <w:rStyle w:val="17"/>
          <w:rFonts w:hint="default" w:ascii="仿宋" w:hAnsi="仿宋" w:eastAsia="仿宋" w:cs="仿宋"/>
          <w:b/>
          <w:bCs/>
        </w:rPr>
        <w:t>十六</w:t>
      </w:r>
      <w:r>
        <w:rPr>
          <w:rFonts w:hint="eastAsia" w:ascii="仿宋" w:hAnsi="仿宋" w:eastAsia="仿宋" w:cs="仿宋"/>
          <w:b/>
          <w:bCs/>
          <w:color w:val="000000"/>
          <w:kern w:val="0"/>
          <w:sz w:val="32"/>
          <w:szCs w:val="32"/>
        </w:rPr>
        <w:t>条</w:t>
      </w:r>
      <w:r>
        <w:rPr>
          <w:rStyle w:val="17"/>
          <w:rFonts w:hint="default" w:ascii="黑体" w:hAnsi="黑体" w:eastAsia="黑体" w:cs="黑体"/>
          <w:b/>
          <w:bCs/>
          <w:color w:val="1D41D5"/>
        </w:rPr>
        <w:t xml:space="preserve"> </w:t>
      </w:r>
      <w:r>
        <w:rPr>
          <w:rStyle w:val="17"/>
          <w:rFonts w:hint="default"/>
        </w:rPr>
        <w:t>市人民政府应当超前规划、布局建设重大科技基础设施和新型基础设施，保障设施的正常运行。</w:t>
      </w:r>
    </w:p>
    <w:p>
      <w:pPr>
        <w:spacing w:line="360" w:lineRule="auto"/>
        <w:ind w:firstLine="640" w:firstLineChars="200"/>
        <w:textAlignment w:val="baseline"/>
        <w:rPr>
          <w:rStyle w:val="17"/>
          <w:rFonts w:hint="default"/>
        </w:rPr>
      </w:pPr>
      <w:r>
        <w:rPr>
          <w:rStyle w:val="17"/>
          <w:rFonts w:hint="default"/>
        </w:rPr>
        <w:t>鼓励民营企业、民办高等学校、民办科技研发机构建设或参与建设重大科技基础设施和新型基础设施，根据实际情况给予资金支持。</w:t>
      </w:r>
    </w:p>
    <w:p>
      <w:pPr>
        <w:ind w:firstLine="643" w:firstLineChars="200"/>
        <w:textAlignment w:val="baseline"/>
        <w:rPr>
          <w:rFonts w:ascii="仿宋_GB2312" w:hAnsi="仿宋" w:eastAsia="仿宋_GB2312" w:cs="仿宋"/>
          <w:color w:val="000000"/>
          <w:kern w:val="0"/>
          <w:sz w:val="32"/>
          <w:szCs w:val="32"/>
          <w:lang w:bidi="ar"/>
        </w:rPr>
      </w:pPr>
      <w:r>
        <w:rPr>
          <w:rFonts w:hint="eastAsia" w:ascii="仿宋_GB2312" w:hAnsi="仿宋" w:eastAsia="仿宋_GB2312" w:cs="仿宋"/>
          <w:b/>
          <w:bCs/>
          <w:color w:val="000000"/>
          <w:kern w:val="0"/>
          <w:sz w:val="32"/>
          <w:szCs w:val="32"/>
          <w:lang w:bidi="ar"/>
        </w:rPr>
        <w:t xml:space="preserve">第十七条 </w:t>
      </w:r>
      <w:r>
        <w:rPr>
          <w:rFonts w:hint="eastAsia" w:ascii="仿宋_GB2312" w:hAnsi="仿宋" w:eastAsia="仿宋_GB2312" w:cs="仿宋"/>
          <w:color w:val="000000"/>
          <w:kern w:val="0"/>
          <w:sz w:val="32"/>
          <w:szCs w:val="32"/>
          <w:lang w:bidi="ar"/>
        </w:rPr>
        <w:t>市人民政府应当统筹规划、优化资源配置，建设</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lang w:bidi="ar"/>
        </w:rPr>
        <w:t>研究实验基地。</w:t>
      </w:r>
    </w:p>
    <w:p>
      <w:pPr>
        <w:ind w:firstLine="640" w:firstLineChars="200"/>
        <w:textAlignment w:val="baseline"/>
        <w:rPr>
          <w:rFonts w:ascii="仿宋_GB2312" w:hAnsi="仿宋" w:eastAsia="仿宋_GB2312" w:cs="仿宋"/>
          <w:color w:val="000000"/>
          <w:sz w:val="32"/>
        </w:rPr>
      </w:pPr>
      <w:r>
        <w:rPr>
          <w:rFonts w:hint="eastAsia" w:ascii="仿宋_GB2312" w:hAnsi="仿宋" w:eastAsia="仿宋_GB2312" w:cs="仿宋"/>
          <w:color w:val="000000"/>
          <w:kern w:val="0"/>
          <w:sz w:val="32"/>
          <w:szCs w:val="32"/>
          <w:lang w:bidi="ar"/>
        </w:rPr>
        <w:t>鼓励设置综合性</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lang w:bidi="ar"/>
        </w:rPr>
        <w:t>实验服务单位,为企业、高等院校、</w:t>
      </w:r>
      <w:r>
        <w:rPr>
          <w:rFonts w:hint="eastAsia" w:ascii="仿宋_GB2312" w:hAnsi="仿宋" w:eastAsia="仿宋_GB2312" w:cs="仿宋"/>
          <w:color w:val="000000"/>
          <w:sz w:val="32"/>
          <w:szCs w:val="32"/>
        </w:rPr>
        <w:t>研究开发</w:t>
      </w:r>
      <w:r>
        <w:rPr>
          <w:rFonts w:hint="eastAsia" w:ascii="仿宋_GB2312" w:hAnsi="仿宋" w:eastAsia="仿宋_GB2312" w:cs="仿宋"/>
          <w:color w:val="000000"/>
          <w:kern w:val="0"/>
          <w:sz w:val="32"/>
          <w:szCs w:val="32"/>
          <w:lang w:bidi="ar"/>
        </w:rPr>
        <w:t>机构和</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lang w:bidi="ar"/>
        </w:rPr>
        <w:t>人员提供服务。</w:t>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第十八条 </w:t>
      </w:r>
      <w:r>
        <w:rPr>
          <w:rStyle w:val="17"/>
          <w:rFonts w:hint="default"/>
        </w:rPr>
        <w:t>市、县（市）区</w:t>
      </w:r>
      <w:r>
        <w:rPr>
          <w:rFonts w:hint="eastAsia" w:ascii="仿宋_GB2312" w:hAnsi="仿宋" w:eastAsia="仿宋_GB2312" w:cs="仿宋"/>
          <w:color w:val="000000"/>
          <w:kern w:val="0"/>
          <w:sz w:val="32"/>
          <w:szCs w:val="32"/>
        </w:rPr>
        <w:t>人民政府</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行政部门应当健全</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报告制度，推进</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成果的完整保存、持续积累、开放共享和转化应用。</w:t>
      </w:r>
    </w:p>
    <w:p>
      <w:pPr>
        <w:ind w:firstLine="640" w:firstLineChars="200"/>
        <w:textAlignment w:val="baseline"/>
        <w:rPr>
          <w:rStyle w:val="17"/>
          <w:rFonts w:hint="default" w:hAnsi="仿宋" w:cs="仿宋"/>
          <w:kern w:val="0"/>
        </w:rPr>
      </w:pPr>
      <w:r>
        <w:rPr>
          <w:rFonts w:hint="eastAsia" w:ascii="仿宋_GB2312" w:hAnsi="仿宋" w:eastAsia="仿宋_GB2312" w:cs="仿宋"/>
          <w:color w:val="000000"/>
          <w:kern w:val="0"/>
          <w:sz w:val="32"/>
          <w:szCs w:val="32"/>
        </w:rPr>
        <w:t>财政资金支持的</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项目的承担者应当向相应</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行政部门提交</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报告，并将</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成果和相关知识产权信息汇交到</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成果信息系统。涉密项目的</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 xml:space="preserve">报告按照相关保密规定另行处理。 </w:t>
      </w:r>
    </w:p>
    <w:p>
      <w:pPr>
        <w:pStyle w:val="2"/>
        <w:spacing w:before="225" w:after="225" w:line="540" w:lineRule="exact"/>
        <w:jc w:val="center"/>
        <w:textAlignment w:val="baseline"/>
        <w:rPr>
          <w:rFonts w:ascii="黑体" w:hAnsi="黑体" w:eastAsia="黑体"/>
          <w:b w:val="0"/>
          <w:bCs w:val="0"/>
          <w:color w:val="000000"/>
          <w:sz w:val="32"/>
          <w:szCs w:val="32"/>
        </w:rPr>
      </w:pPr>
      <w:r>
        <w:rPr>
          <w:rFonts w:hint="eastAsia" w:ascii="黑体" w:hAnsi="黑体" w:eastAsia="黑体"/>
          <w:b w:val="0"/>
          <w:bCs w:val="0"/>
          <w:color w:val="000000"/>
          <w:sz w:val="32"/>
          <w:szCs w:val="32"/>
        </w:rPr>
        <w:t xml:space="preserve">第三章 </w:t>
      </w:r>
      <w:r>
        <w:rPr>
          <w:rFonts w:ascii="黑体" w:hAnsi="黑体" w:eastAsia="黑体"/>
          <w:b w:val="0"/>
          <w:bCs w:val="0"/>
          <w:color w:val="000000"/>
          <w:sz w:val="32"/>
          <w:szCs w:val="32"/>
        </w:rPr>
        <w:t xml:space="preserve"> </w:t>
      </w:r>
      <w:r>
        <w:rPr>
          <w:rFonts w:hint="eastAsia" w:ascii="黑体" w:hAnsi="黑体" w:eastAsia="黑体"/>
          <w:b w:val="0"/>
          <w:bCs w:val="0"/>
          <w:color w:val="000000"/>
          <w:sz w:val="32"/>
          <w:szCs w:val="32"/>
        </w:rPr>
        <w:t>科技成果转化</w:t>
      </w:r>
    </w:p>
    <w:p>
      <w:pPr>
        <w:ind w:firstLine="643" w:firstLineChars="200"/>
        <w:textAlignment w:val="baseline"/>
        <w:rPr>
          <w:rStyle w:val="17"/>
          <w:rFonts w:hint="default"/>
        </w:rPr>
      </w:pPr>
      <w:r>
        <w:rPr>
          <w:rStyle w:val="17"/>
          <w:rFonts w:hint="default" w:hAnsi="仿宋"/>
          <w:b/>
        </w:rPr>
        <w:t xml:space="preserve">第十九条 </w:t>
      </w:r>
      <w:r>
        <w:rPr>
          <w:rStyle w:val="17"/>
          <w:rFonts w:hint="default"/>
        </w:rPr>
        <w:t>利用市财政资金设立的应用类科技项目，项目主管部门应当在合同中明确项目承担者的科技成果转化义务和转化期限、项目主管部门可以许可他人实施的条件和程序等事项。</w:t>
      </w:r>
    </w:p>
    <w:p>
      <w:pPr>
        <w:ind w:firstLine="640" w:firstLineChars="200"/>
        <w:textAlignment w:val="baseline"/>
        <w:rPr>
          <w:rStyle w:val="17"/>
          <w:rFonts w:hint="default"/>
        </w:rPr>
      </w:pPr>
      <w:r>
        <w:rPr>
          <w:rStyle w:val="17"/>
          <w:rFonts w:hint="default"/>
        </w:rPr>
        <w:t>项目承担者在约定转化期限内未实施转化且无正当理由的，项目主管部门可以按照约定终止项目。该项目形成的科技成果，项目主管部门可以在科技公共服务平台上发布，并依照约定许可他人实施。</w:t>
      </w:r>
    </w:p>
    <w:p>
      <w:pPr>
        <w:ind w:firstLine="643" w:firstLineChars="200"/>
        <w:textAlignment w:val="baseline"/>
        <w:rPr>
          <w:rStyle w:val="17"/>
          <w:rFonts w:hint="default"/>
          <w:color w:val="auto"/>
        </w:rPr>
      </w:pPr>
      <w:r>
        <w:rPr>
          <w:rStyle w:val="17"/>
          <w:rFonts w:hint="default" w:hAnsi="仿宋"/>
          <w:b/>
        </w:rPr>
        <w:t xml:space="preserve">第二十条 </w:t>
      </w:r>
      <w:r>
        <w:rPr>
          <w:rStyle w:val="17"/>
          <w:rFonts w:hint="default"/>
        </w:rPr>
        <w:t>利用财政资金设立的研究开发机构、高等院校应当完善科技成果转化管理制度，优化科技成果转化流程，加强科技成果转化队伍建设，提供必要的经费保障</w:t>
      </w:r>
      <w:r>
        <w:rPr>
          <w:rStyle w:val="17"/>
          <w:rFonts w:hint="default"/>
          <w:color w:val="auto"/>
        </w:rPr>
        <w:t>。</w:t>
      </w:r>
    </w:p>
    <w:p>
      <w:pPr>
        <w:pStyle w:val="10"/>
        <w:ind w:firstLine="643" w:firstLineChars="200"/>
        <w:jc w:val="both"/>
        <w:rPr>
          <w:rStyle w:val="17"/>
          <w:rFonts w:hint="default" w:hAnsi="仿宋" w:cs="仿宋"/>
          <w:b w:val="0"/>
          <w:bCs w:val="0"/>
          <w:color w:val="auto"/>
        </w:rPr>
      </w:pPr>
      <w:r>
        <w:rPr>
          <w:rFonts w:hint="eastAsia" w:ascii="仿宋_GB2312" w:hAnsi="黑体" w:eastAsia="仿宋_GB2312" w:cs="黑体"/>
          <w:kern w:val="0"/>
          <w:sz w:val="32"/>
          <w:szCs w:val="32"/>
        </w:rPr>
        <w:t>第二十一条</w:t>
      </w:r>
      <w:r>
        <w:rPr>
          <w:rStyle w:val="20"/>
          <w:rFonts w:hint="eastAsia" w:hAnsi="黑体" w:eastAsia="仿宋_GB2312" w:cs="黑体"/>
          <w:color w:val="auto"/>
        </w:rPr>
        <w:t xml:space="preserve"> </w:t>
      </w:r>
      <w:r>
        <w:rPr>
          <w:rStyle w:val="20"/>
          <w:rFonts w:hint="eastAsia" w:hAnsi="仿宋" w:eastAsia="仿宋_GB2312" w:cs="仿宋"/>
          <w:b w:val="0"/>
          <w:bCs w:val="0"/>
          <w:color w:val="auto"/>
        </w:rPr>
        <w:t>市、县（市）区人民政府应当完善政府、企业、社会组织、投融资机构等共同参与的多元评价体系，健全科技成果评价机制，建立以成果创新水平、转化应用绩效、对经济社会发展实际贡献为核心的评价导向。探索和运用分类评价方法。</w:t>
      </w:r>
    </w:p>
    <w:p>
      <w:pPr>
        <w:ind w:firstLine="643" w:firstLineChars="200"/>
        <w:textAlignment w:val="baseline"/>
        <w:rPr>
          <w:rStyle w:val="17"/>
          <w:rFonts w:hint="default"/>
        </w:rPr>
      </w:pPr>
      <w:r>
        <w:rPr>
          <w:rStyle w:val="17"/>
          <w:rFonts w:hint="default" w:hAnsi="仿宋"/>
          <w:b/>
        </w:rPr>
        <w:t xml:space="preserve">第二十二条 </w:t>
      </w:r>
      <w:r>
        <w:rPr>
          <w:rStyle w:val="17"/>
          <w:rFonts w:hint="default"/>
        </w:rPr>
        <w:t>利用财政资金设立的研究开发机构、高等院校对其持有的科技成果，可以自主决定转让、许可或者作价投资，但应当通过协议定价、在技术交易市场挂牌交易、拍卖等方式确定价格。通过协议定价的，应按有关规定进行公示。</w:t>
      </w:r>
    </w:p>
    <w:p>
      <w:pPr>
        <w:ind w:firstLine="640" w:firstLineChars="200"/>
        <w:textAlignment w:val="baseline"/>
        <w:rPr>
          <w:rStyle w:val="17"/>
          <w:rFonts w:hint="default"/>
        </w:rPr>
      </w:pPr>
      <w:r>
        <w:rPr>
          <w:rStyle w:val="17"/>
          <w:rFonts w:hint="default"/>
        </w:rPr>
        <w:t>利用财政资金设立的研究开发机构、高等院校科技成果转化所获得收入全部留归本单位。</w:t>
      </w:r>
    </w:p>
    <w:p>
      <w:pPr>
        <w:ind w:firstLine="643" w:firstLineChars="200"/>
        <w:textAlignment w:val="baseline"/>
        <w:rPr>
          <w:rStyle w:val="17"/>
          <w:rFonts w:hint="default"/>
          <w:color w:val="auto"/>
        </w:rPr>
      </w:pPr>
      <w:r>
        <w:rPr>
          <w:rStyle w:val="17"/>
          <w:rFonts w:hint="default"/>
          <w:b/>
          <w:bCs/>
          <w:color w:val="auto"/>
        </w:rPr>
        <w:t xml:space="preserve">第二十三条 </w:t>
      </w:r>
      <w:r>
        <w:rPr>
          <w:rStyle w:val="17"/>
          <w:rFonts w:hint="default"/>
        </w:rPr>
        <w:t>市、县（市）区</w:t>
      </w:r>
      <w:r>
        <w:rPr>
          <w:rStyle w:val="17"/>
          <w:rFonts w:hint="default"/>
          <w:color w:val="auto"/>
        </w:rPr>
        <w:t>人民政府应当支持“双创”载体开展科技成果转化。</w:t>
      </w:r>
    </w:p>
    <w:p>
      <w:pPr>
        <w:ind w:firstLine="640" w:firstLineChars="200"/>
        <w:textAlignment w:val="baseline"/>
        <w:rPr>
          <w:rStyle w:val="17"/>
          <w:rFonts w:hint="default"/>
          <w:color w:val="auto"/>
        </w:rPr>
      </w:pPr>
      <w:r>
        <w:rPr>
          <w:rStyle w:val="17"/>
          <w:rFonts w:hint="default"/>
          <w:color w:val="auto"/>
        </w:rPr>
        <w:t>支持建设众创空间、孵化器、加速器、产业园区等全生命周期的科技企业孵化体系，支持在孵企业自主创新，推进创业型成果转化。</w:t>
      </w:r>
    </w:p>
    <w:p>
      <w:pPr>
        <w:ind w:firstLine="640" w:firstLineChars="200"/>
        <w:textAlignment w:val="baseline"/>
        <w:rPr>
          <w:rStyle w:val="17"/>
          <w:rFonts w:hint="default"/>
          <w:color w:val="auto"/>
        </w:rPr>
      </w:pPr>
      <w:r>
        <w:rPr>
          <w:rStyle w:val="17"/>
          <w:rFonts w:hint="default"/>
          <w:color w:val="auto"/>
        </w:rPr>
        <w:t>完善以服务能力、孵化绩效、可持续性发展为导向的评价体系，对运行成效突出的孵化载体给予奖励，享受相关税收优惠。</w:t>
      </w:r>
    </w:p>
    <w:p>
      <w:pPr>
        <w:ind w:firstLine="643" w:firstLineChars="200"/>
        <w:textAlignment w:val="baseline"/>
        <w:rPr>
          <w:rStyle w:val="17"/>
          <w:rFonts w:hint="default" w:hAnsi="仿宋"/>
          <w:b/>
        </w:rPr>
      </w:pPr>
      <w:r>
        <w:rPr>
          <w:rStyle w:val="17"/>
          <w:rFonts w:hint="default" w:hAnsi="仿宋"/>
          <w:b/>
        </w:rPr>
        <w:t xml:space="preserve">第二十四条 </w:t>
      </w:r>
      <w:r>
        <w:rPr>
          <w:rStyle w:val="17"/>
          <w:rFonts w:hint="default"/>
        </w:rPr>
        <w:t>支持建设综合性科技成果转化服务平台，建立健全科技大市场及服务支撑体系，完善技术产权交易市场服务功能</w:t>
      </w:r>
      <w:r>
        <w:rPr>
          <w:rStyle w:val="17"/>
          <w:rFonts w:hint="default"/>
          <w:color w:val="auto"/>
        </w:rPr>
        <w:t>，为</w:t>
      </w:r>
      <w:r>
        <w:rPr>
          <w:rStyle w:val="17"/>
          <w:rFonts w:hint="default"/>
        </w:rPr>
        <w:t>科技成果转化活动提供线上与线下相结合的配套服务。</w:t>
      </w:r>
    </w:p>
    <w:p>
      <w:pPr>
        <w:ind w:firstLine="640" w:firstLineChars="200"/>
        <w:textAlignment w:val="baseline"/>
        <w:rPr>
          <w:rStyle w:val="17"/>
          <w:rFonts w:hint="default"/>
        </w:rPr>
      </w:pPr>
      <w:r>
        <w:rPr>
          <w:rStyle w:val="17"/>
          <w:rFonts w:hint="default"/>
        </w:rPr>
        <w:t>市、县（市）区人民政府应当支持开展成果推介会、项目对接会、成果竞拍会等活动，促进成果转化供给侧与需求侧的有效对接。</w:t>
      </w:r>
    </w:p>
    <w:p>
      <w:pPr>
        <w:ind w:firstLine="643" w:firstLineChars="200"/>
        <w:textAlignment w:val="baseline"/>
        <w:rPr>
          <w:rStyle w:val="17"/>
          <w:rFonts w:hint="default"/>
        </w:rPr>
      </w:pPr>
      <w:r>
        <w:rPr>
          <w:rStyle w:val="17"/>
          <w:rFonts w:hint="default" w:hAnsi="仿宋"/>
          <w:b/>
        </w:rPr>
        <w:t xml:space="preserve">第二十五条 </w:t>
      </w:r>
      <w:r>
        <w:rPr>
          <w:rStyle w:val="17"/>
          <w:rFonts w:hint="default"/>
        </w:rPr>
        <w:t>鼓励社会力量依法创办技术评估、技术经纪、技术咨询、技术交易、技术服务等科技中介服务机构。鼓励高等院校、研究开发机构建立专业化的技术转移机构。</w:t>
      </w:r>
    </w:p>
    <w:p>
      <w:pPr>
        <w:ind w:firstLine="643" w:firstLineChars="200"/>
        <w:textAlignment w:val="baseline"/>
        <w:rPr>
          <w:rStyle w:val="17"/>
          <w:rFonts w:hint="default"/>
          <w:color w:val="auto"/>
        </w:rPr>
      </w:pPr>
      <w:r>
        <w:rPr>
          <w:rStyle w:val="17"/>
          <w:rFonts w:hint="default" w:hAnsi="仿宋"/>
          <w:b/>
        </w:rPr>
        <w:t xml:space="preserve">第二十六条 </w:t>
      </w:r>
      <w:r>
        <w:rPr>
          <w:rStyle w:val="17"/>
          <w:rFonts w:hint="default"/>
        </w:rPr>
        <w:t>市、县（市）区</w:t>
      </w:r>
      <w:r>
        <w:rPr>
          <w:rStyle w:val="17"/>
          <w:rFonts w:hint="default"/>
          <w:color w:val="auto"/>
        </w:rPr>
        <w:t>人民政府应当支持科技成果转化所需的应用场景建设，支持新技术、新产品、新业态、新商业模式在本市测试、试用、应用，并依法提供其所需的数据开发、基础设施、技术验证环境、检测标准、示范应用等服务，为其在本市落地提供便利。</w:t>
      </w:r>
    </w:p>
    <w:p>
      <w:pPr>
        <w:ind w:firstLine="643" w:firstLineChars="200"/>
        <w:textAlignment w:val="baseline"/>
        <w:rPr>
          <w:rStyle w:val="17"/>
          <w:rFonts w:hint="default"/>
        </w:rPr>
      </w:pPr>
      <w:r>
        <w:rPr>
          <w:rStyle w:val="17"/>
          <w:rFonts w:hint="default" w:hAnsi="仿宋"/>
          <w:b/>
        </w:rPr>
        <w:t xml:space="preserve">第二十七条 </w:t>
      </w:r>
      <w:r>
        <w:rPr>
          <w:rStyle w:val="17"/>
          <w:rFonts w:hint="default"/>
        </w:rPr>
        <w:t>利用财政资金设立的高等院校、研究开发机构应当建立健全有利于促进科技成果转化的绩效考核评价体系，将科技成果转化绩效作为专业技术职称评审、岗位管理和考核评价的重要内容之一。</w:t>
      </w:r>
    </w:p>
    <w:p>
      <w:pPr>
        <w:ind w:firstLine="643" w:firstLineChars="200"/>
        <w:textAlignment w:val="baseline"/>
        <w:rPr>
          <w:rStyle w:val="17"/>
          <w:rFonts w:hint="default"/>
        </w:rPr>
      </w:pPr>
      <w:r>
        <w:rPr>
          <w:rStyle w:val="17"/>
          <w:rFonts w:hint="default" w:hAnsi="仿宋"/>
          <w:b/>
        </w:rPr>
        <w:t xml:space="preserve">第二十八条 </w:t>
      </w:r>
      <w:r>
        <w:rPr>
          <w:rStyle w:val="17"/>
          <w:rFonts w:hint="default"/>
        </w:rPr>
        <w:t>鼓励企业加大对科技成果转化经费投入力度。支持企业承接研究开发机构、高等院校的科技成果并实施转化。对承接科技成果的企业，可以按照技术合同的实际成交额或者科技成果作价投资的一定比例给予补助。</w:t>
      </w:r>
    </w:p>
    <w:p>
      <w:pPr>
        <w:ind w:firstLine="640" w:firstLineChars="200"/>
        <w:textAlignment w:val="baseline"/>
        <w:rPr>
          <w:rStyle w:val="17"/>
          <w:rFonts w:hint="default"/>
        </w:rPr>
      </w:pPr>
      <w:r>
        <w:rPr>
          <w:rStyle w:val="17"/>
          <w:rFonts w:hint="default"/>
        </w:rPr>
        <w:t>国有资产监督管理部门可以将国有独资企业及国有资本占控股地位或者主导地位的企业研究开发投入、科技成果转化绩效等指标纳入企业负责人经营业绩考核体系。国有独资企业及国有资本占控股地位或者主导地位的企业当年研究开发投入可以在经营业绩考核中视同利润。</w:t>
      </w:r>
    </w:p>
    <w:p>
      <w:pPr>
        <w:ind w:firstLine="643" w:firstLineChars="200"/>
        <w:textAlignment w:val="baseline"/>
        <w:rPr>
          <w:rStyle w:val="17"/>
          <w:rFonts w:hint="default"/>
        </w:rPr>
      </w:pPr>
      <w:r>
        <w:rPr>
          <w:rStyle w:val="17"/>
          <w:rFonts w:hint="default" w:hAnsi="仿宋"/>
          <w:b/>
        </w:rPr>
        <w:t xml:space="preserve">第二十九条 </w:t>
      </w:r>
      <w:r>
        <w:rPr>
          <w:rStyle w:val="17"/>
          <w:rFonts w:hint="default"/>
        </w:rPr>
        <w:t>鼓励企业、高等院校、研究开发机构建立健全科技成果转化的激励分配机制，可以依法实行产权激励，采取科技成果折股、知识产权入股、科技成果收益分成、股权奖励、股权出售、股票期权等方式对科技人员、管理人员和技能人员进行激励，促进成果转化。</w:t>
      </w:r>
    </w:p>
    <w:p>
      <w:pPr>
        <w:ind w:firstLine="643" w:firstLineChars="200"/>
        <w:textAlignment w:val="baseline"/>
        <w:rPr>
          <w:rStyle w:val="17"/>
          <w:rFonts w:hint="default" w:hAnsi="仿宋" w:cs="仿宋"/>
          <w:bCs/>
          <w:color w:val="auto"/>
        </w:rPr>
      </w:pPr>
      <w:r>
        <w:rPr>
          <w:rStyle w:val="17"/>
          <w:rFonts w:hint="default" w:hAnsi="仿宋" w:cs="仿宋"/>
          <w:b/>
          <w:color w:val="auto"/>
        </w:rPr>
        <w:t>第</w:t>
      </w:r>
      <w:r>
        <w:rPr>
          <w:rStyle w:val="17"/>
          <w:rFonts w:hint="default" w:hAnsi="仿宋" w:cs="仿宋"/>
          <w:b/>
          <w:bCs/>
          <w:color w:val="auto"/>
        </w:rPr>
        <w:t>三十</w:t>
      </w:r>
      <w:r>
        <w:rPr>
          <w:rStyle w:val="17"/>
          <w:rFonts w:hint="default" w:hAnsi="仿宋" w:cs="仿宋"/>
          <w:b/>
          <w:color w:val="auto"/>
        </w:rPr>
        <w:t xml:space="preserve">条 </w:t>
      </w:r>
      <w:r>
        <w:rPr>
          <w:rStyle w:val="17"/>
          <w:rFonts w:hint="default" w:hAnsi="仿宋" w:cs="仿宋"/>
          <w:bCs/>
          <w:color w:val="auto"/>
        </w:rPr>
        <w:t>科技成果完成单位持有的职务科技成果转化后，应当对完成、转化该项科技成果作出重要贡献的人员给予奖励和报酬。</w:t>
      </w:r>
    </w:p>
    <w:p>
      <w:pPr>
        <w:ind w:firstLine="640" w:firstLineChars="200"/>
        <w:textAlignment w:val="baseline"/>
        <w:rPr>
          <w:rStyle w:val="17"/>
          <w:rFonts w:hint="default" w:hAnsi="仿宋" w:cs="仿宋"/>
          <w:bCs/>
          <w:color w:val="auto"/>
        </w:rPr>
      </w:pPr>
      <w:r>
        <w:rPr>
          <w:rStyle w:val="17"/>
          <w:rFonts w:hint="default" w:hAnsi="仿宋" w:cs="仿宋"/>
          <w:bCs/>
          <w:color w:val="auto"/>
        </w:rPr>
        <w:t>科技成果完成单位未规定、也未与科技人员约定奖励和报酬的方式及数额的，按照下列标准对完成、转化职务科技成果做出重要贡献的人员给予奖励和报酬：</w:t>
      </w:r>
    </w:p>
    <w:p>
      <w:pPr>
        <w:ind w:firstLine="640" w:firstLineChars="200"/>
        <w:textAlignment w:val="baseline"/>
        <w:rPr>
          <w:rStyle w:val="17"/>
          <w:rFonts w:hint="default" w:hAnsi="仿宋" w:cs="仿宋"/>
          <w:bCs/>
          <w:color w:val="auto"/>
        </w:rPr>
      </w:pPr>
      <w:r>
        <w:rPr>
          <w:rStyle w:val="17"/>
          <w:rFonts w:hint="default" w:hAnsi="仿宋" w:cs="仿宋"/>
          <w:bCs/>
          <w:color w:val="auto"/>
        </w:rPr>
        <w:t>（一）将该项科技成果以技术转让或者许可方式实施转化的，从转让或者许可所得净收入中提取不低于百分之七十的比例；</w:t>
      </w:r>
    </w:p>
    <w:p>
      <w:pPr>
        <w:ind w:firstLine="640" w:firstLineChars="200"/>
        <w:textAlignment w:val="baseline"/>
        <w:rPr>
          <w:rStyle w:val="17"/>
          <w:rFonts w:hint="default" w:hAnsi="仿宋" w:cs="仿宋"/>
          <w:bCs/>
          <w:color w:val="auto"/>
        </w:rPr>
      </w:pPr>
      <w:r>
        <w:rPr>
          <w:rStyle w:val="17"/>
          <w:rFonts w:hint="default" w:hAnsi="仿宋" w:cs="仿宋"/>
          <w:bCs/>
          <w:color w:val="auto"/>
        </w:rPr>
        <w:t>（二）将该项科技成果以作价投资方式实施转化的，从形成的股份或者出资比例中提取不低于百分之七十的比例；</w:t>
      </w:r>
    </w:p>
    <w:p>
      <w:pPr>
        <w:ind w:firstLine="640" w:firstLineChars="200"/>
        <w:textAlignment w:val="baseline"/>
        <w:rPr>
          <w:rStyle w:val="17"/>
          <w:rFonts w:hint="default" w:hAnsi="仿宋" w:cs="仿宋"/>
          <w:bCs/>
          <w:color w:val="auto"/>
        </w:rPr>
      </w:pPr>
      <w:r>
        <w:rPr>
          <w:rStyle w:val="17"/>
          <w:rFonts w:hint="default" w:hAnsi="仿宋" w:cs="仿宋"/>
          <w:bCs/>
          <w:color w:val="auto"/>
        </w:rPr>
        <w:t>（三）将该项科技成果自行实施转化或者与他人合作实施转化的，应当在实施转化成功投产后连续五年，每年从实施该项科技成果的营业利润中提取不低于百分之十的比例给予奖励和报酬，或者按照此比例，给予一次性奖励；</w:t>
      </w:r>
    </w:p>
    <w:p>
      <w:pPr>
        <w:ind w:firstLine="640" w:firstLineChars="200"/>
        <w:textAlignment w:val="baseline"/>
        <w:rPr>
          <w:rStyle w:val="17"/>
          <w:rFonts w:hint="default" w:hAnsi="仿宋" w:cs="仿宋"/>
          <w:bCs/>
          <w:color w:val="auto"/>
        </w:rPr>
      </w:pPr>
      <w:r>
        <w:rPr>
          <w:rStyle w:val="17"/>
          <w:rFonts w:hint="default" w:hAnsi="仿宋" w:cs="仿宋"/>
          <w:bCs/>
          <w:color w:val="auto"/>
        </w:rPr>
        <w:t>（四）在研究开发和科技成果转化中作出主要贡献的人员，获得奖励的份额不低于奖励总额百分之七十的比例。</w:t>
      </w:r>
    </w:p>
    <w:p>
      <w:pPr>
        <w:ind w:firstLine="640" w:firstLineChars="200"/>
        <w:textAlignment w:val="baseline"/>
        <w:rPr>
          <w:rStyle w:val="17"/>
          <w:rFonts w:hint="default" w:hAnsi="仿宋" w:cs="仿宋"/>
          <w:bCs/>
          <w:color w:val="auto"/>
        </w:rPr>
      </w:pPr>
      <w:r>
        <w:rPr>
          <w:rStyle w:val="17"/>
          <w:rFonts w:hint="default" w:hAnsi="仿宋" w:cs="仿宋"/>
          <w:bCs/>
          <w:color w:val="auto"/>
        </w:rPr>
        <w:t>前款所称净收入是指技术合同的实际成交额扣除交易的直接成本和税金等后的余值。</w:t>
      </w:r>
    </w:p>
    <w:p>
      <w:pPr>
        <w:ind w:firstLine="640" w:firstLineChars="200"/>
        <w:textAlignment w:val="baseline"/>
        <w:rPr>
          <w:rStyle w:val="17"/>
          <w:rFonts w:hint="default" w:hAnsi="仿宋" w:cs="仿宋"/>
          <w:bCs/>
          <w:color w:val="auto"/>
        </w:rPr>
      </w:pPr>
      <w:r>
        <w:rPr>
          <w:rStyle w:val="17"/>
          <w:rFonts w:hint="default" w:hAnsi="仿宋" w:cs="仿宋"/>
          <w:bCs/>
          <w:color w:val="auto"/>
        </w:rPr>
        <w:t>国有企业、事业单位依照本条例规定对完成、转化职务科技成果做出重要贡献的人员给予奖励和报酬的支出计入当年本单位工资总额，但不受当年本单位工资总额限制、不纳入本单位工资总额基数。</w:t>
      </w:r>
    </w:p>
    <w:p>
      <w:pPr>
        <w:ind w:firstLine="640" w:firstLineChars="200"/>
        <w:textAlignment w:val="baseline"/>
        <w:rPr>
          <w:rStyle w:val="17"/>
          <w:rFonts w:hint="default" w:hAnsi="仿宋" w:cs="仿宋"/>
          <w:bCs/>
          <w:color w:val="auto"/>
        </w:rPr>
      </w:pPr>
      <w:r>
        <w:rPr>
          <w:rStyle w:val="17"/>
          <w:rFonts w:hint="default" w:hAnsi="仿宋" w:cs="仿宋"/>
          <w:bCs/>
          <w:color w:val="auto"/>
        </w:rPr>
        <w:t>允许国有独资企业（公司）、国有资本控股公司在科技成果转化实现盈利后，连续三至五年每年提取当年不高于百分之三十的转化利润，用于奖励核心研发人员、团队成员及有重大贡献的科技管理人员。</w:t>
      </w:r>
    </w:p>
    <w:p>
      <w:pPr>
        <w:pStyle w:val="10"/>
        <w:ind w:firstLine="643" w:firstLineChars="200"/>
        <w:jc w:val="both"/>
        <w:rPr>
          <w:rFonts w:ascii="仿宋_GB2312" w:hAnsi="仿宋" w:eastAsia="仿宋_GB2312" w:cs="仿宋"/>
          <w:b w:val="0"/>
          <w:bCs w:val="0"/>
          <w:sz w:val="32"/>
          <w:szCs w:val="32"/>
        </w:rPr>
      </w:pPr>
      <w:r>
        <w:rPr>
          <w:rFonts w:hint="eastAsia" w:ascii="仿宋_GB2312" w:hAnsi="黑体" w:eastAsia="仿宋_GB2312" w:cs="黑体"/>
          <w:sz w:val="32"/>
          <w:szCs w:val="32"/>
        </w:rPr>
        <w:t>第三十一条</w:t>
      </w:r>
      <w:r>
        <w:rPr>
          <w:rFonts w:hint="eastAsia" w:ascii="仿宋_GB2312" w:hAnsi="仿宋" w:eastAsia="仿宋_GB2312" w:cs="仿宋"/>
          <w:sz w:val="32"/>
          <w:szCs w:val="32"/>
        </w:rPr>
        <w:t xml:space="preserve"> </w:t>
      </w:r>
      <w:r>
        <w:rPr>
          <w:rFonts w:hint="eastAsia" w:ascii="仿宋_GB2312" w:hAnsi="仿宋" w:eastAsia="仿宋_GB2312" w:cs="仿宋"/>
          <w:b w:val="0"/>
          <w:bCs w:val="0"/>
          <w:sz w:val="32"/>
          <w:szCs w:val="32"/>
        </w:rPr>
        <w:t>市、县（市）区人民政府科技行政部门应当建立科技成果库，完善财政资金形成的科技成果的信息收储、公开发布、及时更新、科学评价、价值评估等制度。</w:t>
      </w:r>
    </w:p>
    <w:p>
      <w:pPr>
        <w:pStyle w:val="10"/>
        <w:ind w:firstLine="640" w:firstLineChars="200"/>
        <w:jc w:val="both"/>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其他类科技成果可根据科技成果完成人意愿，纳入科技成果库统一管理，享受财政资金形成的科技成果的同等待遇。</w:t>
      </w:r>
    </w:p>
    <w:p>
      <w:pPr>
        <w:ind w:firstLine="643" w:firstLineChars="200"/>
        <w:textAlignment w:val="baseline"/>
        <w:rPr>
          <w:rStyle w:val="17"/>
          <w:rFonts w:hint="default"/>
          <w:color w:val="auto"/>
        </w:rPr>
      </w:pPr>
      <w:r>
        <w:rPr>
          <w:rStyle w:val="17"/>
          <w:rFonts w:hint="default"/>
          <w:b/>
          <w:bCs/>
          <w:color w:val="auto"/>
        </w:rPr>
        <w:t>第三十二条</w:t>
      </w:r>
      <w:bookmarkStart w:id="0" w:name="_Hlk82369147"/>
      <w:r>
        <w:rPr>
          <w:rStyle w:val="17"/>
          <w:rFonts w:hint="default"/>
          <w:b/>
          <w:bCs/>
          <w:color w:val="auto"/>
        </w:rPr>
        <w:t xml:space="preserve"> </w:t>
      </w:r>
      <w:r>
        <w:rPr>
          <w:rStyle w:val="17"/>
          <w:rFonts w:hint="default"/>
        </w:rPr>
        <w:t>市、县（市）区</w:t>
      </w:r>
      <w:bookmarkEnd w:id="0"/>
      <w:r>
        <w:rPr>
          <w:rStyle w:val="17"/>
          <w:rFonts w:hint="default"/>
          <w:color w:val="auto"/>
        </w:rPr>
        <w:t>人民政府应当建设农业科技创新和推广体系。鼓励农业科技研究机构、农业技术推广机构、农业试验示范单位独立或者与其他单位合作开展农业科技成果转化。支持建设农业高新技术产业示范区、农业科技园区、农业科技成果转化基地等。</w:t>
      </w:r>
    </w:p>
    <w:p>
      <w:pPr>
        <w:pStyle w:val="2"/>
        <w:spacing w:before="225" w:after="225" w:line="540" w:lineRule="exact"/>
        <w:jc w:val="center"/>
        <w:textAlignment w:val="baseline"/>
        <w:rPr>
          <w:rFonts w:ascii="黑体" w:hAnsi="黑体" w:eastAsia="黑体"/>
          <w:b w:val="0"/>
          <w:bCs w:val="0"/>
          <w:color w:val="000000"/>
          <w:sz w:val="32"/>
          <w:szCs w:val="32"/>
        </w:rPr>
      </w:pPr>
      <w:r>
        <w:rPr>
          <w:rFonts w:hint="eastAsia" w:ascii="黑体" w:hAnsi="黑体" w:eastAsia="黑体"/>
          <w:b w:val="0"/>
          <w:bCs w:val="0"/>
          <w:color w:val="000000"/>
          <w:sz w:val="32"/>
          <w:szCs w:val="32"/>
        </w:rPr>
        <w:t>第四章  企业技术创新</w:t>
      </w:r>
    </w:p>
    <w:p>
      <w:pPr>
        <w:textAlignment w:val="baseline"/>
        <w:rPr>
          <w:b/>
          <w:i/>
          <w:caps/>
          <w:sz w:val="20"/>
        </w:rPr>
      </w:pPr>
    </w:p>
    <w:p>
      <w:pPr>
        <w:ind w:firstLine="643" w:firstLineChars="200"/>
        <w:jc w:val="left"/>
        <w:textAlignment w:val="baseline"/>
        <w:rPr>
          <w:rStyle w:val="17"/>
          <w:rFonts w:hint="default"/>
        </w:rPr>
      </w:pPr>
      <w:r>
        <w:rPr>
          <w:rFonts w:hint="eastAsia" w:ascii="仿宋_GB2312" w:hAnsi="仿宋" w:eastAsia="仿宋_GB2312" w:cs="仿宋"/>
          <w:b/>
          <w:bCs/>
          <w:color w:val="000000"/>
          <w:kern w:val="0"/>
          <w:sz w:val="32"/>
          <w:szCs w:val="32"/>
        </w:rPr>
        <w:t xml:space="preserve">第三十三条 </w:t>
      </w:r>
      <w:r>
        <w:rPr>
          <w:rStyle w:val="17"/>
          <w:rFonts w:hint="default"/>
        </w:rPr>
        <w:t>完善以企业为主体、市场为导向、产学研用深度融合的技术创新体系。</w:t>
      </w:r>
    </w:p>
    <w:p>
      <w:pPr>
        <w:ind w:firstLine="640" w:firstLineChars="200"/>
        <w:jc w:val="left"/>
        <w:textAlignment w:val="baseline"/>
        <w:rPr>
          <w:rStyle w:val="17"/>
          <w:rFonts w:hint="default"/>
        </w:rPr>
      </w:pPr>
      <w:r>
        <w:rPr>
          <w:rStyle w:val="17"/>
          <w:rFonts w:hint="default"/>
        </w:rPr>
        <w:t xml:space="preserve">支持企业独立或联合其他单位合作承担重大科技专项、科技基础设施建设、高新技术产业化项目和其他科技计划项目。 </w:t>
      </w:r>
    </w:p>
    <w:p>
      <w:pPr>
        <w:ind w:firstLine="640" w:firstLineChars="200"/>
        <w:jc w:val="left"/>
        <w:textAlignment w:val="baseline"/>
        <w:rPr>
          <w:rFonts w:ascii="仿宋_GB2312" w:eastAsia="仿宋_GB2312"/>
          <w:color w:val="000000"/>
          <w:sz w:val="32"/>
          <w:szCs w:val="32"/>
        </w:rPr>
      </w:pPr>
      <w:r>
        <w:rPr>
          <w:rStyle w:val="17"/>
          <w:rFonts w:hint="default"/>
        </w:rPr>
        <w:t>市人民政府国有资产监督管理部门应当将国有企业的研究开发投入、技术创新能力建设、技术创新成效及知识产权产出等纳入经营业绩考核，引导和督促国有企业科技研发。市属国有企业应当提高企业技术储备和创新能力。</w:t>
      </w:r>
    </w:p>
    <w:p>
      <w:pPr>
        <w:ind w:firstLine="643" w:firstLineChars="200"/>
        <w:jc w:val="left"/>
        <w:textAlignment w:val="baseline"/>
        <w:rPr>
          <w:rStyle w:val="17"/>
          <w:rFonts w:hint="default"/>
        </w:rPr>
      </w:pPr>
      <w:r>
        <w:rPr>
          <w:rFonts w:hint="eastAsia" w:ascii="仿宋_GB2312" w:eastAsia="仿宋_GB2312"/>
          <w:b/>
          <w:color w:val="000000"/>
          <w:sz w:val="32"/>
          <w:highlight w:val="white"/>
        </w:rPr>
        <w:t xml:space="preserve">第三十四条 </w:t>
      </w:r>
      <w:r>
        <w:rPr>
          <w:rStyle w:val="17"/>
          <w:rFonts w:hint="default"/>
        </w:rPr>
        <w:t>市、县（市）区</w:t>
      </w:r>
      <w:r>
        <w:rPr>
          <w:rFonts w:hint="eastAsia" w:ascii="仿宋_GB2312" w:eastAsia="仿宋_GB2312"/>
          <w:color w:val="000000"/>
          <w:sz w:val="32"/>
          <w:highlight w:val="white"/>
        </w:rPr>
        <w:t>人民政府</w:t>
      </w:r>
      <w:r>
        <w:rPr>
          <w:rStyle w:val="17"/>
          <w:rFonts w:hint="default"/>
        </w:rPr>
        <w:t xml:space="preserve">引导和支持有条件的企业建立或者联合设立高新技术研究开发中心、产业技术研究院、工程（技术）研究中心、技术中心、重点实验室、工程实验室、院士工作站、专家工作站、博士后科研工作站、博士或者硕士实践基地、大师工作室、引智基地、应用示范基地、创新创业基地、中试基地等，提高企业自主创新和科技成果转化能力，承接转化国内外科技成果。 </w:t>
      </w:r>
    </w:p>
    <w:p>
      <w:pPr>
        <w:ind w:firstLine="643" w:firstLineChars="200"/>
        <w:jc w:val="left"/>
        <w:textAlignment w:val="baseline"/>
        <w:rPr>
          <w:rStyle w:val="17"/>
          <w:rFonts w:hint="default"/>
        </w:rPr>
      </w:pPr>
      <w:r>
        <w:rPr>
          <w:rFonts w:hint="eastAsia" w:ascii="仿宋_GB2312" w:hAnsi="仿宋" w:eastAsia="仿宋_GB2312" w:cs="仿宋"/>
          <w:b/>
          <w:bCs/>
          <w:color w:val="000000"/>
          <w:kern w:val="0"/>
          <w:sz w:val="32"/>
          <w:szCs w:val="32"/>
        </w:rPr>
        <w:t xml:space="preserve">第三十五条 </w:t>
      </w:r>
      <w:r>
        <w:rPr>
          <w:rStyle w:val="17"/>
          <w:rFonts w:hint="default"/>
        </w:rPr>
        <w:t>支持企业或新型科技研发机构牵头组建产业技术创新战略联盟，建立遵循契约精神、市场目标明确、利益共享、风险共担的实质性产学研联盟，在技术攻关、平台建设、成果转化、人才培育等方面形成创新合力。</w:t>
      </w:r>
    </w:p>
    <w:p>
      <w:pPr>
        <w:ind w:firstLine="643" w:firstLineChars="200"/>
        <w:jc w:val="left"/>
        <w:textAlignment w:val="baseline"/>
        <w:rPr>
          <w:rFonts w:ascii="仿宋_GB2312" w:hAnsi="黑体" w:eastAsia="仿宋_GB2312"/>
          <w:color w:val="FF0000"/>
          <w:sz w:val="32"/>
        </w:rPr>
      </w:pPr>
      <w:r>
        <w:rPr>
          <w:rFonts w:hint="eastAsia" w:ascii="仿宋_GB2312" w:hAnsi="仿宋" w:eastAsia="仿宋_GB2312" w:cs="仿宋"/>
          <w:b/>
          <w:bCs/>
          <w:color w:val="000000"/>
          <w:kern w:val="0"/>
          <w:sz w:val="32"/>
          <w:szCs w:val="32"/>
        </w:rPr>
        <w:t xml:space="preserve">第三十六条 </w:t>
      </w:r>
      <w:r>
        <w:rPr>
          <w:rStyle w:val="17"/>
          <w:rFonts w:hint="default"/>
        </w:rPr>
        <w:t>市、县（市）区人民政府应当创新经费支持和管理方式，支持新型研发机构。在政府项目承担、职称评审、人才引进、建设用地、投资融资等方面享受与国有机构同等待遇。</w:t>
      </w:r>
      <w:r>
        <w:rPr>
          <w:rFonts w:hint="eastAsia" w:ascii="仿宋_GB2312" w:hAnsi="仿宋" w:eastAsia="仿宋_GB2312" w:cs="仿宋"/>
          <w:color w:val="00B050"/>
          <w:sz w:val="32"/>
          <w:szCs w:val="32"/>
        </w:rPr>
        <w:t xml:space="preserve"> </w:t>
      </w:r>
    </w:p>
    <w:p>
      <w:pPr>
        <w:ind w:firstLine="643" w:firstLineChars="200"/>
        <w:jc w:val="left"/>
        <w:textAlignment w:val="baseline"/>
        <w:rPr>
          <w:rFonts w:ascii="仿宋_GB2312" w:eastAsia="仿宋_GB2312"/>
          <w:color w:val="000000"/>
          <w:sz w:val="32"/>
        </w:rPr>
      </w:pPr>
      <w:r>
        <w:rPr>
          <w:rFonts w:hint="eastAsia" w:ascii="仿宋_GB2312" w:hAnsi="仿宋" w:eastAsia="仿宋_GB2312" w:cs="仿宋"/>
          <w:b/>
          <w:bCs/>
          <w:color w:val="000000"/>
          <w:kern w:val="0"/>
          <w:sz w:val="32"/>
          <w:szCs w:val="32"/>
        </w:rPr>
        <w:t xml:space="preserve">第三十七条 </w:t>
      </w:r>
      <w:r>
        <w:rPr>
          <w:rStyle w:val="17"/>
          <w:rFonts w:hint="default"/>
        </w:rPr>
        <w:t>鼓励企业与高等院校、研究开发机构以及其他组织采取联合建设研究开发平台、技术转移机构、或者技术创新联盟、新型研发机构，以及其他产学研合作方式，联合实施科技成果转化，共同开展研究开发、成果应用推广、标准研究与制定等活动，引导科技成果对接特色产业需求转移转化。</w:t>
      </w:r>
    </w:p>
    <w:p>
      <w:pPr>
        <w:ind w:firstLine="643" w:firstLineChars="200"/>
        <w:jc w:val="left"/>
        <w:textAlignment w:val="baseline"/>
        <w:rPr>
          <w:rStyle w:val="17"/>
          <w:rFonts w:hint="default"/>
        </w:rPr>
      </w:pPr>
      <w:r>
        <w:rPr>
          <w:rFonts w:hint="eastAsia" w:ascii="仿宋_GB2312" w:hAnsi="仿宋" w:eastAsia="仿宋_GB2312" w:cs="仿宋"/>
          <w:b/>
          <w:bCs/>
          <w:color w:val="000000"/>
          <w:kern w:val="0"/>
          <w:sz w:val="32"/>
          <w:szCs w:val="32"/>
        </w:rPr>
        <w:t xml:space="preserve">第三十八条 </w:t>
      </w:r>
      <w:r>
        <w:rPr>
          <w:rStyle w:val="17"/>
          <w:rFonts w:hint="default"/>
        </w:rPr>
        <w:t>市人民政府及其有关部门通过实施高新技术企业培育、提供研发资助、落实研究开发费用税前加计扣除、科研仪器设备加速折旧、技术开发和转让税收减免等优惠措施。</w:t>
      </w:r>
    </w:p>
    <w:p>
      <w:pPr>
        <w:pStyle w:val="2"/>
        <w:spacing w:before="225" w:after="225" w:line="540" w:lineRule="exact"/>
        <w:jc w:val="center"/>
        <w:textAlignment w:val="baseline"/>
        <w:rPr>
          <w:rFonts w:ascii="黑体" w:hAnsi="黑体" w:eastAsia="黑体"/>
          <w:b w:val="0"/>
          <w:bCs w:val="0"/>
          <w:color w:val="000000"/>
          <w:sz w:val="32"/>
          <w:szCs w:val="32"/>
        </w:rPr>
      </w:pPr>
      <w:r>
        <w:rPr>
          <w:rFonts w:hint="eastAsia" w:ascii="黑体" w:hAnsi="黑体" w:eastAsia="黑体"/>
          <w:b w:val="0"/>
          <w:bCs w:val="0"/>
          <w:color w:val="000000"/>
          <w:sz w:val="32"/>
          <w:szCs w:val="32"/>
        </w:rPr>
        <w:t>第五章  科技创新人员</w:t>
      </w:r>
    </w:p>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第三十九条 </w:t>
      </w:r>
      <w:r>
        <w:rPr>
          <w:rStyle w:val="17"/>
          <w:rFonts w:hint="default"/>
        </w:rPr>
        <w:t>市、县（市）区</w:t>
      </w:r>
      <w:r>
        <w:rPr>
          <w:rFonts w:hint="eastAsia" w:ascii="仿宋_GB2312" w:hAnsi="仿宋" w:eastAsia="仿宋_GB2312" w:cs="仿宋"/>
          <w:color w:val="000000"/>
          <w:kern w:val="0"/>
          <w:sz w:val="32"/>
          <w:szCs w:val="32"/>
        </w:rPr>
        <w:t>人民政府</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、人力资源和社会保障行政部门应当建立</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 xml:space="preserve">创新人员激励保障机制，对各类科技创新人员在项目评审、职称评定、职务晋级、社会保障等方面提供均等机会和服务。 </w:t>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第四十条</w:t>
      </w:r>
      <w:r>
        <w:rPr>
          <w:rStyle w:val="17"/>
          <w:rFonts w:hint="default" w:hAnsi="仿宋" w:cs="仿宋"/>
          <w:b/>
          <w:bCs/>
        </w:rPr>
        <w:t xml:space="preserve"> </w:t>
      </w:r>
      <w:r>
        <w:rPr>
          <w:rStyle w:val="17"/>
          <w:rFonts w:hint="default"/>
        </w:rPr>
        <w:t>市、县（市）区</w:t>
      </w:r>
      <w:r>
        <w:rPr>
          <w:rFonts w:hint="eastAsia" w:ascii="仿宋_GB2312" w:hAnsi="仿宋" w:eastAsia="仿宋_GB2312" w:cs="仿宋"/>
          <w:color w:val="000000"/>
          <w:kern w:val="0"/>
          <w:sz w:val="32"/>
          <w:szCs w:val="32"/>
        </w:rPr>
        <w:t>人民政府</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、人力资源和社会保障行政部门应当制定和落实普惠性</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创新人才政策。</w:t>
      </w:r>
    </w:p>
    <w:p>
      <w:pPr>
        <w:ind w:firstLine="640" w:firstLineChars="200"/>
        <w:textAlignment w:val="baseline"/>
        <w:rPr>
          <w:rFonts w:ascii="仿宋_GB2312" w:hAnsi="仿宋" w:eastAsia="仿宋_GB2312" w:cs="仿宋"/>
          <w:b/>
          <w:bCs/>
          <w:color w:val="000000"/>
          <w:kern w:val="0"/>
          <w:sz w:val="32"/>
          <w:szCs w:val="32"/>
        </w:rPr>
      </w:pPr>
      <w:r>
        <w:rPr>
          <w:rFonts w:hint="eastAsia" w:ascii="仿宋_GB2312" w:hAnsi="仿宋" w:eastAsia="仿宋_GB2312" w:cs="仿宋"/>
          <w:color w:val="000000"/>
          <w:kern w:val="0"/>
          <w:sz w:val="32"/>
          <w:szCs w:val="32"/>
        </w:rPr>
        <w:t>经</w:t>
      </w:r>
      <w:r>
        <w:rPr>
          <w:rStyle w:val="17"/>
          <w:rFonts w:hint="default"/>
        </w:rPr>
        <w:t>市、县（市）区</w:t>
      </w:r>
      <w:r>
        <w:rPr>
          <w:rFonts w:hint="eastAsia" w:ascii="仿宋_GB2312" w:hAnsi="仿宋" w:eastAsia="仿宋_GB2312" w:cs="仿宋"/>
          <w:color w:val="000000"/>
          <w:kern w:val="0"/>
          <w:sz w:val="32"/>
          <w:szCs w:val="32"/>
        </w:rPr>
        <w:t>人民政府</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行政部门认定在本行政区域范围内从事</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创新一年以上的</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研究开发人员，不论户口属地，均可申报本市人才政策。</w:t>
      </w:r>
      <w:r>
        <w:rPr>
          <w:rFonts w:hint="eastAsia" w:ascii="仿宋_GB2312" w:hAnsi="仿宋" w:eastAsia="仿宋_GB2312" w:cs="仿宋"/>
          <w:b/>
          <w:bCs/>
          <w:color w:val="000000"/>
          <w:kern w:val="0"/>
          <w:sz w:val="32"/>
          <w:szCs w:val="32"/>
        </w:rPr>
        <w:tab/>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第四十一条 </w:t>
      </w:r>
      <w:r>
        <w:rPr>
          <w:rStyle w:val="17"/>
          <w:rFonts w:hint="default"/>
        </w:rPr>
        <w:t>市、县（市）区</w:t>
      </w:r>
      <w:r>
        <w:rPr>
          <w:rFonts w:hint="eastAsia" w:ascii="仿宋_GB2312" w:hAnsi="仿宋" w:eastAsia="仿宋_GB2312" w:cs="仿宋"/>
          <w:color w:val="000000"/>
          <w:kern w:val="0"/>
          <w:sz w:val="32"/>
          <w:szCs w:val="32"/>
        </w:rPr>
        <w:t>人民政府</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、人力资源和社会保障行政部门应当建立</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企业家队伍，把</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企业家纳入</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创新人员队伍，享受</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研究开发人员在职称、人才政策等方面的同等待遇。</w:t>
      </w:r>
    </w:p>
    <w:p>
      <w:pPr>
        <w:ind w:firstLine="640" w:firstLineChars="200"/>
        <w:textAlignment w:val="baseline"/>
        <w:rPr>
          <w:rFonts w:ascii="仿宋_GB2312" w:hAnsi="仿宋" w:eastAsia="仿宋_GB2312" w:cs="仿宋"/>
          <w:color w:val="000000"/>
          <w:kern w:val="0"/>
          <w:sz w:val="32"/>
          <w:szCs w:val="32"/>
        </w:rPr>
      </w:pPr>
      <w:r>
        <w:rPr>
          <w:rStyle w:val="17"/>
          <w:rFonts w:hint="default"/>
        </w:rPr>
        <w:t>市、县（市）区</w:t>
      </w:r>
      <w:r>
        <w:rPr>
          <w:rFonts w:hint="eastAsia" w:ascii="仿宋_GB2312" w:hAnsi="仿宋" w:eastAsia="仿宋_GB2312" w:cs="仿宋"/>
          <w:color w:val="000000"/>
          <w:kern w:val="0"/>
          <w:sz w:val="32"/>
          <w:szCs w:val="32"/>
        </w:rPr>
        <w:t>人民政府</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、人力资源和社会保障行政部门应当开展</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企业家培训、宣传和奖励。</w:t>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第</w:t>
      </w:r>
      <w:r>
        <w:rPr>
          <w:rFonts w:hint="eastAsia" w:ascii="仿宋_GB2312" w:hAnsi="仿宋" w:eastAsia="仿宋_GB2312" w:cs="仿宋"/>
          <w:b/>
          <w:color w:val="000000"/>
          <w:kern w:val="0"/>
          <w:sz w:val="32"/>
          <w:szCs w:val="32"/>
        </w:rPr>
        <w:t>四十二</w:t>
      </w:r>
      <w:r>
        <w:rPr>
          <w:rFonts w:hint="eastAsia" w:ascii="仿宋_GB2312" w:hAnsi="仿宋" w:eastAsia="仿宋_GB2312" w:cs="仿宋"/>
          <w:b/>
          <w:bCs/>
          <w:color w:val="000000"/>
          <w:kern w:val="0"/>
          <w:sz w:val="32"/>
          <w:szCs w:val="32"/>
        </w:rPr>
        <w:t xml:space="preserve">条 </w:t>
      </w:r>
      <w:r>
        <w:rPr>
          <w:rStyle w:val="17"/>
          <w:rFonts w:hint="default"/>
        </w:rPr>
        <w:t>市、县（市）区</w:t>
      </w:r>
      <w:r>
        <w:rPr>
          <w:rFonts w:hint="eastAsia" w:ascii="仿宋_GB2312" w:hAnsi="仿宋" w:eastAsia="仿宋_GB2312" w:cs="仿宋"/>
          <w:color w:val="000000"/>
          <w:kern w:val="0"/>
          <w:sz w:val="32"/>
          <w:szCs w:val="32"/>
        </w:rPr>
        <w:t>人民政府</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、人力资源和社会保障行政部门应当将管理绩效、服务绩效、满意度指标等纳入</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管理人员、</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 xml:space="preserve">服务人员职称评聘、职务晋级、薪资提升的考评指标体系。 </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支持</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管理人员、</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服务人员在一定范围内跨职称系列进行评聘。</w:t>
      </w:r>
      <w:r>
        <w:rPr>
          <w:rFonts w:hint="eastAsia" w:ascii="仿宋_GB2312" w:hAnsi="仿宋" w:eastAsia="仿宋_GB2312" w:cs="仿宋"/>
          <w:color w:val="000000"/>
          <w:kern w:val="0"/>
          <w:sz w:val="32"/>
          <w:szCs w:val="32"/>
        </w:rPr>
        <w:tab/>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第四十三条 </w:t>
      </w:r>
      <w:r>
        <w:rPr>
          <w:rStyle w:val="17"/>
          <w:rFonts w:hint="default"/>
        </w:rPr>
        <w:t>市、县（市）区</w:t>
      </w:r>
      <w:r>
        <w:rPr>
          <w:rFonts w:hint="eastAsia" w:ascii="仿宋_GB2312" w:hAnsi="仿宋" w:eastAsia="仿宋_GB2312" w:cs="仿宋"/>
          <w:color w:val="000000"/>
          <w:kern w:val="0"/>
          <w:sz w:val="32"/>
          <w:szCs w:val="32"/>
        </w:rPr>
        <w:t>人民政府应当设立青年</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人才专项计划，支持培养青年</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创新人才。</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支持企业与高等院校合作开展青年高端紧缺人才定向培训。</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鼓励和支持企业、高等院校、</w:t>
      </w:r>
      <w:r>
        <w:rPr>
          <w:rFonts w:hint="eastAsia" w:ascii="仿宋_GB2312" w:hAnsi="仿宋" w:eastAsia="仿宋_GB2312" w:cs="仿宋"/>
          <w:color w:val="000000"/>
          <w:sz w:val="32"/>
          <w:szCs w:val="32"/>
        </w:rPr>
        <w:t>研究开发</w:t>
      </w:r>
      <w:r>
        <w:rPr>
          <w:rFonts w:hint="eastAsia" w:ascii="仿宋_GB2312" w:hAnsi="仿宋" w:eastAsia="仿宋_GB2312" w:cs="仿宋"/>
          <w:color w:val="000000"/>
          <w:kern w:val="0"/>
          <w:sz w:val="32"/>
          <w:szCs w:val="32"/>
        </w:rPr>
        <w:t>机构和其他组织引进青年</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创新人才。</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支持域外青年</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创新人才来本市创新创业。</w:t>
      </w:r>
    </w:p>
    <w:p>
      <w:pPr>
        <w:widowControl/>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对推荐、引进、培养青年</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创新人才作出重大贡献的个人或者组织，给予项目、资金等支持。</w:t>
      </w:r>
    </w:p>
    <w:p>
      <w:pPr>
        <w:shd w:val="clear" w:color="auto" w:fill="FFFFFF"/>
        <w:ind w:firstLine="643" w:firstLineChars="200"/>
        <w:textAlignment w:val="baseline"/>
        <w:rPr>
          <w:rFonts w:ascii="仿宋_GB2312" w:hAnsi="仿宋" w:eastAsia="仿宋_GB2312" w:cs="仿宋"/>
          <w:color w:val="000000"/>
          <w:sz w:val="32"/>
        </w:rPr>
      </w:pPr>
      <w:r>
        <w:rPr>
          <w:rFonts w:hint="eastAsia" w:ascii="仿宋_GB2312" w:hAnsi="仿宋" w:eastAsia="仿宋_GB2312" w:cs="仿宋"/>
          <w:b/>
          <w:bCs/>
          <w:color w:val="000000"/>
          <w:kern w:val="0"/>
          <w:sz w:val="32"/>
          <w:szCs w:val="32"/>
        </w:rPr>
        <w:t xml:space="preserve">第四十四条 </w:t>
      </w:r>
      <w:r>
        <w:rPr>
          <w:rFonts w:hint="eastAsia" w:ascii="仿宋_GB2312" w:hAnsi="仿宋" w:eastAsia="仿宋_GB2312" w:cs="仿宋"/>
          <w:color w:val="000000"/>
          <w:sz w:val="32"/>
          <w:highlight w:val="white"/>
        </w:rPr>
        <w:t>市、县（市）区人民政府应当采取科技成果转化人才引进和培养措施，重点引进和培养技术需求分析、无形资产价值评估、技术营销、技术并购、知识产权运营等专业人才。鼓励企业、研究开发机构和高等院校引进、培养和使用科技成果转化人才。支持专业技术转移人才队伍建设，开展专业技术转移人才职业资格认定和专业职称评定工作</w:t>
      </w:r>
      <w:r>
        <w:rPr>
          <w:rFonts w:hint="eastAsia" w:ascii="仿宋_GB2312" w:hAnsi="仿宋" w:eastAsia="仿宋_GB2312" w:cs="仿宋"/>
          <w:b/>
          <w:color w:val="000000"/>
          <w:sz w:val="32"/>
          <w:highlight w:val="white"/>
        </w:rPr>
        <w:t>。</w:t>
      </w:r>
    </w:p>
    <w:p>
      <w:pPr>
        <w:ind w:firstLine="64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第四十五条 </w:t>
      </w:r>
      <w:r>
        <w:rPr>
          <w:rStyle w:val="17"/>
          <w:rFonts w:hint="default"/>
        </w:rPr>
        <w:t>市、县（市）区</w:t>
      </w:r>
      <w:r>
        <w:rPr>
          <w:rFonts w:hint="eastAsia" w:ascii="仿宋_GB2312" w:hAnsi="仿宋" w:eastAsia="仿宋_GB2312" w:cs="仿宋"/>
          <w:color w:val="000000"/>
          <w:kern w:val="0"/>
          <w:sz w:val="32"/>
          <w:szCs w:val="32"/>
        </w:rPr>
        <w:t>人民政府</w:t>
      </w:r>
      <w:r>
        <w:rPr>
          <w:rFonts w:hint="eastAsia" w:ascii="仿宋_GB2312" w:hAnsi="仿宋" w:eastAsia="仿宋_GB2312" w:cs="仿宋"/>
          <w:color w:val="000000"/>
          <w:sz w:val="32"/>
        </w:rPr>
        <w:t>支持</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创新人员在艰苦、边远地区或者恶劣、危险环境中工作，所在单位应当按照国家规定给予补贴，提供其岗位或者工作场所应有的职业健康卫生保护。</w:t>
      </w:r>
    </w:p>
    <w:p>
      <w:pPr>
        <w:shd w:val="clear" w:color="auto" w:fill="FFFFFF"/>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第四十六条 </w:t>
      </w:r>
      <w:r>
        <w:rPr>
          <w:rStyle w:val="17"/>
          <w:rFonts w:hint="default"/>
        </w:rPr>
        <w:t>市、县（市）区</w:t>
      </w:r>
      <w:r>
        <w:rPr>
          <w:rFonts w:hint="eastAsia" w:ascii="仿宋_GB2312" w:hAnsi="仿宋" w:eastAsia="仿宋_GB2312" w:cs="仿宋"/>
          <w:color w:val="000000"/>
          <w:kern w:val="0"/>
          <w:sz w:val="32"/>
          <w:szCs w:val="32"/>
        </w:rPr>
        <w:t>人民政府</w:t>
      </w:r>
      <w:r>
        <w:rPr>
          <w:rFonts w:hint="eastAsia" w:ascii="仿宋_GB2312" w:hAnsi="仿宋" w:eastAsia="仿宋_GB2312" w:cs="仿宋"/>
          <w:color w:val="000000"/>
          <w:sz w:val="32"/>
        </w:rPr>
        <w:t>支持</w:t>
      </w:r>
      <w:r>
        <w:rPr>
          <w:rFonts w:hint="eastAsia" w:ascii="仿宋_GB2312" w:hAnsi="仿宋" w:eastAsia="仿宋_GB2312" w:cs="仿宋"/>
          <w:color w:val="000000"/>
          <w:kern w:val="0"/>
          <w:sz w:val="32"/>
          <w:szCs w:val="32"/>
        </w:rPr>
        <w:t>从高等院校、</w:t>
      </w:r>
      <w:r>
        <w:rPr>
          <w:rFonts w:hint="eastAsia" w:ascii="仿宋_GB2312" w:hAnsi="仿宋" w:eastAsia="仿宋_GB2312" w:cs="仿宋"/>
          <w:color w:val="000000"/>
          <w:sz w:val="32"/>
          <w:szCs w:val="32"/>
        </w:rPr>
        <w:t>研究开发</w:t>
      </w:r>
      <w:r>
        <w:rPr>
          <w:rFonts w:hint="eastAsia" w:ascii="仿宋_GB2312" w:hAnsi="仿宋" w:eastAsia="仿宋_GB2312" w:cs="仿宋"/>
          <w:color w:val="000000"/>
          <w:kern w:val="0"/>
          <w:sz w:val="32"/>
          <w:szCs w:val="32"/>
        </w:rPr>
        <w:t>机构等单位选派农业</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特派员，为农业</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创新、农村</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创业、农业技术推广提供指导和服务。</w:t>
      </w:r>
    </w:p>
    <w:p>
      <w:pPr>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农业</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特派员的工资福利、专业技术职称评定、职务聘任，及取得</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成果转化、农村</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创业的收益，根据国家和省有关规定按照上限原则执行。</w:t>
      </w:r>
    </w:p>
    <w:p>
      <w:pPr>
        <w:shd w:val="clear" w:color="auto" w:fill="FFFFFF"/>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第四十七条 </w:t>
      </w:r>
      <w:r>
        <w:rPr>
          <w:rStyle w:val="17"/>
          <w:rFonts w:hint="default"/>
        </w:rPr>
        <w:t>市、县（市）区</w:t>
      </w:r>
      <w:r>
        <w:rPr>
          <w:rFonts w:hint="eastAsia" w:ascii="仿宋_GB2312" w:hAnsi="仿宋" w:eastAsia="仿宋_GB2312" w:cs="仿宋"/>
          <w:color w:val="000000"/>
          <w:kern w:val="0"/>
          <w:sz w:val="32"/>
          <w:szCs w:val="32"/>
        </w:rPr>
        <w:t>人民政府应当建立科技创新人才服务团队，为高层次科技创新人才提供服务保障。</w:t>
      </w:r>
    </w:p>
    <w:p>
      <w:pPr>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鼓励企业、高等院校、研究开发机构、科技研发团队、项目组设立科技助理，专职为科技创新人才团队提供服务，其工资可从政府资助项目资金中列支。</w:t>
      </w:r>
    </w:p>
    <w:p>
      <w:pPr>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相关部门和单位应当开辟科技创新人才服务绿色通道，为科技创新人才落户、住房、医疗防疫、工作许可、签证、出入境、社会保险、永久居留、子女入学入园等方面提供便利条件，提供一站式服务。</w:t>
      </w:r>
    </w:p>
    <w:p>
      <w:pPr>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市人民政府人力资源和社会保障行政部门应当统筹建设科技人才大数据平台、一站式智能化人才综合服务平台，为科技人员在政策咨询、企业设立、项目申报、服务申请、业务办理、科技研发条件保障等方面提供服务。</w:t>
      </w:r>
    </w:p>
    <w:p>
      <w:pPr>
        <w:widowControl/>
        <w:shd w:val="clear" w:color="auto" w:fill="FFFFFF"/>
        <w:ind w:firstLine="643" w:firstLineChars="200"/>
        <w:textAlignment w:val="baseline"/>
        <w:rPr>
          <w:rFonts w:ascii="仿宋_GB2312" w:hAnsi="仿宋" w:eastAsia="仿宋_GB2312" w:cs="仿宋"/>
          <w:bCs/>
          <w:color w:val="000000"/>
          <w:kern w:val="0"/>
          <w:sz w:val="32"/>
          <w:szCs w:val="32"/>
        </w:rPr>
      </w:pPr>
      <w:r>
        <w:rPr>
          <w:rFonts w:hint="eastAsia" w:ascii="仿宋_GB2312" w:hAnsi="仿宋" w:eastAsia="仿宋_GB2312" w:cs="仿宋"/>
          <w:b/>
          <w:bCs/>
          <w:color w:val="000000"/>
          <w:kern w:val="0"/>
          <w:sz w:val="32"/>
          <w:szCs w:val="32"/>
        </w:rPr>
        <w:t xml:space="preserve">第四十八条 </w:t>
      </w:r>
      <w:r>
        <w:rPr>
          <w:rStyle w:val="17"/>
          <w:rFonts w:hint="default"/>
        </w:rPr>
        <w:t>市、县（市）区</w:t>
      </w:r>
      <w:r>
        <w:rPr>
          <w:rFonts w:hint="eastAsia" w:ascii="仿宋_GB2312" w:hAnsi="仿宋" w:eastAsia="仿宋_GB2312" w:cs="仿宋"/>
          <w:bCs/>
          <w:color w:val="000000"/>
          <w:kern w:val="0"/>
          <w:sz w:val="32"/>
          <w:szCs w:val="32"/>
        </w:rPr>
        <w:t>人民政府鼓励企业与高等院校、</w:t>
      </w:r>
      <w:r>
        <w:rPr>
          <w:rFonts w:hint="eastAsia" w:ascii="仿宋_GB2312" w:hAnsi="仿宋" w:eastAsia="仿宋_GB2312" w:cs="仿宋"/>
          <w:color w:val="000000"/>
          <w:sz w:val="32"/>
          <w:szCs w:val="32"/>
        </w:rPr>
        <w:t>研究开发</w:t>
      </w:r>
      <w:r>
        <w:rPr>
          <w:rFonts w:hint="eastAsia" w:ascii="仿宋_GB2312" w:hAnsi="仿宋" w:eastAsia="仿宋_GB2312" w:cs="仿宋"/>
          <w:bCs/>
          <w:color w:val="000000"/>
          <w:kern w:val="0"/>
          <w:sz w:val="32"/>
          <w:szCs w:val="32"/>
        </w:rPr>
        <w:t>机构及其他组织建立</w:t>
      </w:r>
      <w:r>
        <w:rPr>
          <w:rFonts w:hint="eastAsia" w:ascii="仿宋_GB2312" w:hAnsi="仿宋" w:eastAsia="仿宋_GB2312" w:cs="仿宋"/>
          <w:color w:val="000000"/>
          <w:sz w:val="32"/>
          <w:szCs w:val="32"/>
        </w:rPr>
        <w:t>科技</w:t>
      </w:r>
      <w:r>
        <w:rPr>
          <w:rFonts w:hint="eastAsia" w:ascii="仿宋_GB2312" w:hAnsi="仿宋" w:eastAsia="仿宋_GB2312" w:cs="仿宋"/>
          <w:bCs/>
          <w:color w:val="000000"/>
          <w:kern w:val="0"/>
          <w:sz w:val="32"/>
          <w:szCs w:val="32"/>
        </w:rPr>
        <w:t xml:space="preserve">人员合作交流机制。 </w:t>
      </w:r>
    </w:p>
    <w:p>
      <w:pPr>
        <w:widowControl/>
        <w:shd w:val="clear" w:color="auto" w:fill="FFFFFF"/>
        <w:ind w:firstLine="640" w:firstLineChars="200"/>
        <w:textAlignment w:val="baseline"/>
        <w:rPr>
          <w:rFonts w:ascii="仿宋_GB2312" w:hAnsi="仿宋" w:eastAsia="仿宋_GB2312" w:cs="仿宋"/>
          <w:bCs/>
          <w:color w:val="000000"/>
          <w:kern w:val="0"/>
          <w:sz w:val="32"/>
          <w:szCs w:val="32"/>
        </w:rPr>
      </w:pPr>
      <w:r>
        <w:rPr>
          <w:rFonts w:hint="eastAsia" w:ascii="仿宋_GB2312" w:hAnsi="仿宋" w:eastAsia="仿宋_GB2312" w:cs="仿宋"/>
          <w:bCs/>
          <w:kern w:val="0"/>
          <w:sz w:val="32"/>
          <w:szCs w:val="32"/>
        </w:rPr>
        <w:t>利用财政资金设立的</w:t>
      </w:r>
      <w:r>
        <w:rPr>
          <w:rFonts w:hint="eastAsia" w:ascii="仿宋_GB2312" w:hAnsi="仿宋" w:eastAsia="仿宋_GB2312" w:cs="仿宋"/>
          <w:bCs/>
          <w:color w:val="000000"/>
          <w:kern w:val="0"/>
          <w:sz w:val="32"/>
          <w:szCs w:val="32"/>
        </w:rPr>
        <w:t>高等院校、研究开发机构的</w:t>
      </w:r>
      <w:r>
        <w:rPr>
          <w:rFonts w:hint="eastAsia" w:ascii="仿宋_GB2312" w:hAnsi="仿宋" w:eastAsia="仿宋_GB2312" w:cs="仿宋"/>
          <w:color w:val="000000"/>
          <w:sz w:val="32"/>
          <w:szCs w:val="32"/>
        </w:rPr>
        <w:t>科技</w:t>
      </w:r>
      <w:r>
        <w:rPr>
          <w:rFonts w:hint="eastAsia" w:ascii="仿宋_GB2312" w:hAnsi="仿宋" w:eastAsia="仿宋_GB2312" w:cs="仿宋"/>
          <w:bCs/>
          <w:color w:val="000000"/>
          <w:kern w:val="0"/>
          <w:sz w:val="32"/>
          <w:szCs w:val="32"/>
        </w:rPr>
        <w:t>人员可采取离岗、兼职、到企业挂职或者在岗创业等方式从事</w:t>
      </w:r>
      <w:r>
        <w:rPr>
          <w:rFonts w:hint="eastAsia" w:ascii="仿宋_GB2312" w:hAnsi="仿宋" w:eastAsia="仿宋_GB2312" w:cs="仿宋"/>
          <w:color w:val="000000"/>
          <w:sz w:val="32"/>
          <w:szCs w:val="32"/>
        </w:rPr>
        <w:t>科技</w:t>
      </w:r>
      <w:r>
        <w:rPr>
          <w:rFonts w:hint="eastAsia" w:ascii="仿宋_GB2312" w:hAnsi="仿宋" w:eastAsia="仿宋_GB2312" w:cs="仿宋"/>
          <w:bCs/>
          <w:color w:val="000000"/>
          <w:kern w:val="0"/>
          <w:sz w:val="32"/>
          <w:szCs w:val="32"/>
        </w:rPr>
        <w:t>研发和成果转化。鼓励企业科技创新人员到高等院校、研究开发机构兼职并取得报酬。</w:t>
      </w:r>
    </w:p>
    <w:p>
      <w:pPr>
        <w:widowControl/>
        <w:shd w:val="clear" w:color="auto" w:fill="FFFFFF"/>
        <w:ind w:firstLine="640" w:firstLineChars="200"/>
        <w:textAlignment w:val="baseline"/>
        <w:rPr>
          <w:rFonts w:ascii="仿宋_GB2312" w:hAnsi="仿宋" w:eastAsia="仿宋_GB2312" w:cs="仿宋"/>
          <w:bCs/>
          <w:color w:val="000000"/>
          <w:kern w:val="0"/>
          <w:sz w:val="32"/>
          <w:szCs w:val="32"/>
        </w:rPr>
      </w:pPr>
      <w:r>
        <w:rPr>
          <w:rFonts w:hint="eastAsia" w:ascii="仿宋_GB2312" w:hAnsi="仿宋" w:eastAsia="仿宋_GB2312" w:cs="仿宋"/>
          <w:color w:val="000000"/>
          <w:sz w:val="32"/>
          <w:szCs w:val="32"/>
        </w:rPr>
        <w:t>科技</w:t>
      </w:r>
      <w:r>
        <w:rPr>
          <w:rFonts w:hint="eastAsia" w:ascii="仿宋_GB2312" w:hAnsi="仿宋" w:eastAsia="仿宋_GB2312" w:cs="仿宋"/>
          <w:bCs/>
          <w:color w:val="000000"/>
          <w:kern w:val="0"/>
          <w:sz w:val="32"/>
          <w:szCs w:val="32"/>
        </w:rPr>
        <w:t>人员兼职期间，应当就兼职期限、保密内容、知识产权保护、收益分配、后续成果归属等与所在本单位、兼职单位进行约定。</w:t>
      </w:r>
    </w:p>
    <w:p>
      <w:pPr>
        <w:widowControl/>
        <w:shd w:val="clear" w:color="auto" w:fill="FFFFFF"/>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第四十九条</w:t>
      </w:r>
      <w:r>
        <w:rPr>
          <w:rFonts w:hint="eastAsia" w:ascii="仿宋_GB2312" w:hAnsi="仿宋" w:eastAsia="仿宋_GB2312" w:cs="仿宋"/>
          <w:b/>
          <w:kern w:val="0"/>
          <w:sz w:val="32"/>
          <w:szCs w:val="32"/>
        </w:rPr>
        <w:t xml:space="preserve"> </w:t>
      </w:r>
      <w:r>
        <w:rPr>
          <w:rStyle w:val="17"/>
          <w:rFonts w:hint="default"/>
        </w:rPr>
        <w:t>市、县（市）区</w:t>
      </w:r>
      <w:r>
        <w:rPr>
          <w:rFonts w:hint="eastAsia" w:ascii="仿宋_GB2312" w:hAnsi="仿宋" w:eastAsia="仿宋_GB2312" w:cs="仿宋"/>
          <w:color w:val="000000"/>
          <w:kern w:val="0"/>
          <w:sz w:val="32"/>
          <w:szCs w:val="32"/>
        </w:rPr>
        <w:t>人民政府应当对有突出贡献的科技创新人员给予物质和精神激励。</w:t>
      </w:r>
    </w:p>
    <w:p>
      <w:pPr>
        <w:widowControl/>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鼓励高等院校、研究开发机构建立实施以增加知识价值为导向的收入分配机制。</w:t>
      </w:r>
    </w:p>
    <w:p>
      <w:pPr>
        <w:widowControl/>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鼓励企业对科技创新做出突出贡献的</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人员和企业经营管理人员实施股权激励和分红激励。</w:t>
      </w:r>
    </w:p>
    <w:p>
      <w:pPr>
        <w:shd w:val="clear" w:color="auto" w:fill="FFFFFF"/>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color w:val="000000"/>
          <w:sz w:val="32"/>
          <w:highlight w:val="white"/>
        </w:rPr>
        <w:t>第五十条</w:t>
      </w:r>
      <w:r>
        <w:rPr>
          <w:rFonts w:hint="eastAsia" w:ascii="仿宋_GB2312" w:hAnsi="仿宋" w:eastAsia="仿宋_GB2312" w:cs="仿宋"/>
          <w:b/>
          <w:color w:val="000000"/>
          <w:sz w:val="32"/>
        </w:rPr>
        <w:t xml:space="preserve"> </w:t>
      </w:r>
      <w:r>
        <w:rPr>
          <w:rStyle w:val="17"/>
          <w:rFonts w:hint="default"/>
        </w:rPr>
        <w:t>市、县（市）区</w:t>
      </w:r>
      <w:r>
        <w:rPr>
          <w:rFonts w:hint="eastAsia" w:ascii="仿宋_GB2312" w:hAnsi="仿宋" w:eastAsia="仿宋_GB2312" w:cs="仿宋"/>
          <w:color w:val="000000"/>
          <w:kern w:val="0"/>
          <w:sz w:val="32"/>
          <w:szCs w:val="32"/>
        </w:rPr>
        <w:t>人民政府应当建立多元化</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 xml:space="preserve">创新人员考核评价机制和技术职务聘用制度。 </w:t>
      </w:r>
    </w:p>
    <w:p>
      <w:pPr>
        <w:shd w:val="clear" w:color="auto" w:fill="FFFFFF"/>
        <w:ind w:firstLine="640" w:firstLineChars="200"/>
        <w:textAlignment w:val="baseline"/>
        <w:rPr>
          <w:rFonts w:ascii="仿宋_GB2312" w:hAnsi="仿宋" w:eastAsia="仿宋_GB2312" w:cs="仿宋"/>
          <w:color w:val="000000"/>
          <w:sz w:val="32"/>
        </w:rPr>
      </w:pPr>
      <w:r>
        <w:rPr>
          <w:rStyle w:val="17"/>
          <w:rFonts w:hint="default"/>
        </w:rPr>
        <w:t>市、县（市）区</w:t>
      </w:r>
      <w:r>
        <w:rPr>
          <w:rFonts w:hint="eastAsia" w:ascii="仿宋_GB2312" w:hAnsi="仿宋" w:eastAsia="仿宋_GB2312" w:cs="仿宋"/>
          <w:color w:val="000000"/>
          <w:kern w:val="0"/>
          <w:sz w:val="32"/>
          <w:szCs w:val="32"/>
        </w:rPr>
        <w:t>人民政府人力资源和社会保障行政主管部门应当完善民营机构职称评审制度，探索建立民营机构</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创新人员职称自主评聘制度。</w:t>
      </w:r>
    </w:p>
    <w:p>
      <w:pPr>
        <w:widowControl/>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支持符合条件的大型企业、高等院校、</w:t>
      </w:r>
      <w:r>
        <w:rPr>
          <w:rFonts w:hint="eastAsia" w:ascii="仿宋_GB2312" w:hAnsi="仿宋" w:eastAsia="仿宋_GB2312" w:cs="仿宋"/>
          <w:color w:val="000000"/>
          <w:sz w:val="32"/>
          <w:szCs w:val="32"/>
        </w:rPr>
        <w:t>研究开发</w:t>
      </w:r>
      <w:r>
        <w:rPr>
          <w:rFonts w:hint="eastAsia" w:ascii="仿宋_GB2312" w:hAnsi="仿宋" w:eastAsia="仿宋_GB2312" w:cs="仿宋"/>
          <w:color w:val="000000"/>
          <w:kern w:val="0"/>
          <w:sz w:val="32"/>
          <w:szCs w:val="32"/>
        </w:rPr>
        <w:t>机构等自主开展职称评聘和人才认定。</w:t>
      </w:r>
    </w:p>
    <w:p>
      <w:pPr>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支持符合条件的学会、协会、商会等社会团体，组织职称推荐、职称评审等相关工作。</w:t>
      </w:r>
    </w:p>
    <w:p>
      <w:pPr>
        <w:widowControl/>
        <w:shd w:val="clear" w:color="auto" w:fill="FFFFFF"/>
        <w:ind w:firstLine="643" w:firstLineChars="200"/>
        <w:textAlignment w:val="baseline"/>
        <w:rPr>
          <w:rFonts w:ascii="仿宋_GB2312" w:eastAsia="仿宋_GB2312"/>
          <w:color w:val="000000"/>
          <w:sz w:val="32"/>
          <w:szCs w:val="32"/>
        </w:rPr>
      </w:pPr>
      <w:r>
        <w:rPr>
          <w:rFonts w:hint="eastAsia" w:ascii="仿宋_GB2312" w:hAnsi="仿宋" w:eastAsia="仿宋_GB2312" w:cs="仿宋"/>
          <w:b/>
          <w:bCs/>
          <w:color w:val="000000"/>
          <w:kern w:val="0"/>
          <w:sz w:val="32"/>
          <w:szCs w:val="32"/>
        </w:rPr>
        <w:t xml:space="preserve">第五十一条 </w:t>
      </w:r>
      <w:r>
        <w:rPr>
          <w:rStyle w:val="17"/>
          <w:rFonts w:hint="default"/>
        </w:rPr>
        <w:t>科技人员大力弘扬爱国、创新、求实、奉献、协同、育人的科学家精神，坚守工匠精神，应当遵守学术和伦理规范，恪守职业道德，诚实守信；不得在科技活动中弄虚作假，不得参加、支持迷信活动。</w:t>
      </w:r>
    </w:p>
    <w:p>
      <w:pPr>
        <w:pStyle w:val="2"/>
        <w:spacing w:before="225" w:after="225" w:line="540" w:lineRule="exact"/>
        <w:jc w:val="center"/>
        <w:textAlignment w:val="baseline"/>
        <w:rPr>
          <w:rFonts w:ascii="黑体" w:hAnsi="黑体" w:eastAsia="黑体"/>
          <w:b w:val="0"/>
          <w:bCs w:val="0"/>
          <w:color w:val="000000"/>
          <w:sz w:val="32"/>
          <w:szCs w:val="32"/>
        </w:rPr>
      </w:pPr>
      <w:r>
        <w:rPr>
          <w:rFonts w:hint="eastAsia" w:ascii="黑体" w:hAnsi="黑体" w:eastAsia="黑体"/>
          <w:b w:val="0"/>
          <w:bCs w:val="0"/>
          <w:color w:val="000000"/>
          <w:sz w:val="32"/>
          <w:szCs w:val="32"/>
        </w:rPr>
        <w:t xml:space="preserve">第六章 </w:t>
      </w:r>
      <w:r>
        <w:rPr>
          <w:rFonts w:ascii="黑体" w:hAnsi="黑体" w:eastAsia="黑体"/>
          <w:b w:val="0"/>
          <w:bCs w:val="0"/>
          <w:color w:val="000000"/>
          <w:sz w:val="32"/>
          <w:szCs w:val="32"/>
        </w:rPr>
        <w:t xml:space="preserve"> </w:t>
      </w:r>
      <w:r>
        <w:rPr>
          <w:rFonts w:hint="eastAsia" w:ascii="黑体" w:hAnsi="黑体" w:eastAsia="黑体"/>
          <w:b w:val="0"/>
          <w:bCs w:val="0"/>
          <w:color w:val="000000"/>
          <w:sz w:val="32"/>
          <w:szCs w:val="32"/>
        </w:rPr>
        <w:t>科技创新投入</w:t>
      </w:r>
    </w:p>
    <w:p>
      <w:pPr>
        <w:textAlignment w:val="baseline"/>
        <w:rPr>
          <w:b/>
          <w:i/>
          <w:caps/>
          <w:sz w:val="20"/>
        </w:rPr>
      </w:pPr>
    </w:p>
    <w:p>
      <w:pPr>
        <w:ind w:firstLine="643" w:firstLineChars="200"/>
        <w:textAlignment w:val="baseline"/>
        <w:rPr>
          <w:rFonts w:ascii="仿宋_GB2312" w:hAnsi="仿宋" w:eastAsia="仿宋_GB2312" w:cs="仿宋"/>
          <w:color w:val="000000"/>
          <w:sz w:val="32"/>
        </w:rPr>
      </w:pPr>
      <w:r>
        <w:rPr>
          <w:rFonts w:hint="eastAsia" w:ascii="仿宋_GB2312" w:hAnsi="仿宋" w:eastAsia="仿宋_GB2312" w:cs="仿宋"/>
          <w:b/>
          <w:bCs/>
          <w:color w:val="000000"/>
          <w:kern w:val="0"/>
          <w:sz w:val="32"/>
          <w:szCs w:val="32"/>
        </w:rPr>
        <w:t xml:space="preserve">第五十二条 </w:t>
      </w:r>
      <w:r>
        <w:rPr>
          <w:rStyle w:val="17"/>
          <w:rFonts w:hint="default"/>
        </w:rPr>
        <w:t>市、县（市）区</w:t>
      </w:r>
      <w:r>
        <w:rPr>
          <w:rFonts w:hint="eastAsia" w:ascii="仿宋_GB2312" w:hAnsi="仿宋" w:eastAsia="仿宋_GB2312" w:cs="仿宋"/>
          <w:color w:val="000000"/>
          <w:kern w:val="0"/>
          <w:sz w:val="32"/>
          <w:szCs w:val="32"/>
        </w:rPr>
        <w:t>人民政府应当推动建立以政府投入为引导、企业投入为主体、社会资本广泛参与的多元化、多渠道的</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经费投入体系，保持</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经费持续稳定增长</w:t>
      </w:r>
      <w:r>
        <w:rPr>
          <w:rStyle w:val="17"/>
          <w:rFonts w:hint="default" w:hAnsi="仿宋" w:cs="仿宋"/>
        </w:rPr>
        <w:t xml:space="preserve">。 </w:t>
      </w:r>
    </w:p>
    <w:p>
      <w:pPr>
        <w:ind w:firstLine="640" w:firstLineChars="200"/>
        <w:textAlignment w:val="baseline"/>
        <w:rPr>
          <w:rFonts w:ascii="仿宋_GB2312" w:hAnsi="仿宋" w:eastAsia="仿宋_GB2312" w:cs="仿宋"/>
          <w:color w:val="000000"/>
          <w:kern w:val="0"/>
          <w:sz w:val="32"/>
          <w:szCs w:val="32"/>
        </w:rPr>
      </w:pPr>
      <w:r>
        <w:rPr>
          <w:rStyle w:val="17"/>
          <w:rFonts w:hint="default"/>
        </w:rPr>
        <w:t>市、县（市）区</w:t>
      </w:r>
      <w:r>
        <w:rPr>
          <w:rFonts w:hint="eastAsia" w:ascii="仿宋_GB2312" w:hAnsi="仿宋" w:eastAsia="仿宋_GB2312" w:cs="仿宋"/>
          <w:color w:val="000000"/>
          <w:kern w:val="0"/>
          <w:sz w:val="32"/>
          <w:szCs w:val="32"/>
        </w:rPr>
        <w:t>人民政府设立科技创新发展专项资金，财政科技支出总额年度增长幅</w:t>
      </w:r>
      <w:r>
        <w:rPr>
          <w:rFonts w:hint="eastAsia" w:ascii="仿宋_GB2312" w:hAnsi="仿宋" w:eastAsia="仿宋_GB2312" w:cs="仿宋"/>
          <w:kern w:val="0"/>
          <w:sz w:val="32"/>
          <w:szCs w:val="32"/>
        </w:rPr>
        <w:t>度应当显著高于同级财</w:t>
      </w:r>
      <w:r>
        <w:rPr>
          <w:rFonts w:hint="eastAsia" w:ascii="仿宋_GB2312" w:hAnsi="仿宋" w:eastAsia="仿宋_GB2312" w:cs="仿宋"/>
          <w:color w:val="000000"/>
          <w:kern w:val="0"/>
          <w:sz w:val="32"/>
          <w:szCs w:val="32"/>
        </w:rPr>
        <w:t xml:space="preserve">政经常性收入的增长幅度。 </w:t>
      </w:r>
      <w:r>
        <w:rPr>
          <w:rFonts w:ascii="仿宋_GB2312" w:hAnsi="仿宋" w:eastAsia="仿宋_GB2312" w:cs="仿宋"/>
          <w:color w:val="000000"/>
          <w:kern w:val="0"/>
          <w:sz w:val="32"/>
          <w:szCs w:val="32"/>
        </w:rPr>
        <w:t xml:space="preserve"> </w:t>
      </w:r>
    </w:p>
    <w:p>
      <w:pPr>
        <w:ind w:firstLine="640" w:firstLineChars="200"/>
        <w:textAlignment w:val="baseline"/>
        <w:rPr>
          <w:rFonts w:ascii="仿宋_GB2312" w:hAnsi="仿宋" w:eastAsia="仿宋_GB2312" w:cs="仿宋"/>
          <w:color w:val="000000"/>
          <w:sz w:val="32"/>
        </w:rPr>
      </w:pPr>
      <w:r>
        <w:rPr>
          <w:rFonts w:hint="eastAsia" w:ascii="仿宋_GB2312" w:hAnsi="仿宋" w:eastAsia="仿宋_GB2312" w:cs="仿宋"/>
          <w:color w:val="000000"/>
          <w:kern w:val="0"/>
          <w:sz w:val="32"/>
          <w:szCs w:val="32"/>
        </w:rPr>
        <w:t>市、县（市）区人民政府应当合理安排科技成果转化财政资金，引导社会资金投入，推动科技成果转化资金投入的多元化。</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科技成果转化财政资金，主要用于科技成果转化的引导资金、贷款贴息、补助资金和风险投资以及其他促进科技成果转化的资金用途。</w:t>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第五十三条 </w:t>
      </w:r>
      <w:r>
        <w:rPr>
          <w:rStyle w:val="17"/>
          <w:rFonts w:hint="default"/>
        </w:rPr>
        <w:t>市、县（市）区</w:t>
      </w:r>
      <w:r>
        <w:rPr>
          <w:rFonts w:hint="eastAsia" w:ascii="仿宋_GB2312" w:hAnsi="仿宋" w:eastAsia="仿宋_GB2312" w:cs="仿宋"/>
          <w:color w:val="000000"/>
          <w:kern w:val="0"/>
          <w:sz w:val="32"/>
          <w:szCs w:val="32"/>
        </w:rPr>
        <w:t xml:space="preserve">鼓励企业增加研发投入。国有企业应当建立研发准备金制度。企业支付的技术开发费用按实际发生额一次或者分次计入成本费用。 </w:t>
      </w:r>
    </w:p>
    <w:p>
      <w:pPr>
        <w:ind w:firstLine="643" w:firstLineChars="200"/>
        <w:textAlignment w:val="baseline"/>
        <w:rPr>
          <w:rFonts w:ascii="仿宋_GB2312" w:hAnsi="仿宋" w:eastAsia="仿宋_GB2312" w:cs="仿宋"/>
          <w:color w:val="000000"/>
          <w:sz w:val="32"/>
        </w:rPr>
      </w:pPr>
      <w:r>
        <w:rPr>
          <w:rFonts w:hint="eastAsia" w:ascii="仿宋_GB2312" w:hAnsi="仿宋" w:eastAsia="仿宋_GB2312" w:cs="仿宋"/>
          <w:b/>
          <w:bCs/>
          <w:color w:val="000000"/>
          <w:kern w:val="0"/>
          <w:sz w:val="32"/>
          <w:szCs w:val="32"/>
        </w:rPr>
        <w:t xml:space="preserve">第五十四条 </w:t>
      </w:r>
      <w:r>
        <w:rPr>
          <w:rFonts w:hint="eastAsia" w:ascii="仿宋_GB2312" w:hAnsi="仿宋" w:eastAsia="仿宋_GB2312" w:cs="仿宋"/>
          <w:color w:val="000000"/>
          <w:sz w:val="32"/>
          <w:highlight w:val="white"/>
        </w:rPr>
        <w:t>市、县（市）区人民政府鼓励和引导企业、事业单位以及其他组织或者个人参与风险投资事业，通过设立科技成果转化基金或者风险基金等方式，促进科技成果转化和产业化。</w:t>
      </w:r>
    </w:p>
    <w:p>
      <w:pPr>
        <w:ind w:firstLine="640" w:firstLineChars="200"/>
        <w:textAlignment w:val="baseline"/>
        <w:rPr>
          <w:rFonts w:ascii="仿宋_GB2312" w:hAnsi="仿宋" w:eastAsia="仿宋_GB2312" w:cs="仿宋"/>
          <w:color w:val="000000"/>
          <w:sz w:val="32"/>
        </w:rPr>
      </w:pPr>
      <w:r>
        <w:rPr>
          <w:rFonts w:hint="eastAsia" w:ascii="仿宋_GB2312" w:hAnsi="仿宋" w:eastAsia="仿宋_GB2312" w:cs="仿宋"/>
          <w:color w:val="000000"/>
          <w:kern w:val="0"/>
          <w:sz w:val="32"/>
          <w:szCs w:val="32"/>
        </w:rPr>
        <w:t>市国有资产监督管理部门等应当建立适应投资市场化规律的国有股权管理、考核激励和国有资产评估等制度，创新国有资本参与创业投资、天使投资，推动发展混合所有制投资基金。</w:t>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第五十五条 </w:t>
      </w:r>
      <w:r>
        <w:rPr>
          <w:rFonts w:hint="eastAsia" w:ascii="仿宋_GB2312" w:hAnsi="仿宋" w:eastAsia="仿宋_GB2312" w:cs="仿宋"/>
          <w:color w:val="000000"/>
          <w:kern w:val="0"/>
          <w:sz w:val="32"/>
          <w:szCs w:val="32"/>
        </w:rPr>
        <w:t>支持金融机构运用金融</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手段创新</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金融产品、提升金融服务水平，支持担保机构为企业的科技创新活动提供担保服务。</w:t>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第五十六条 </w:t>
      </w:r>
      <w:r>
        <w:rPr>
          <w:rStyle w:val="17"/>
          <w:rFonts w:hint="default"/>
        </w:rPr>
        <w:t>市、县（市）区</w:t>
      </w:r>
      <w:r>
        <w:rPr>
          <w:rFonts w:hint="eastAsia" w:ascii="仿宋_GB2312" w:hAnsi="仿宋" w:eastAsia="仿宋_GB2312" w:cs="仿宋"/>
          <w:color w:val="000000"/>
          <w:kern w:val="0"/>
          <w:sz w:val="32"/>
          <w:szCs w:val="32"/>
        </w:rPr>
        <w:t>人民政府鼓励与支持创业投资和科技风险投资机构向转化科技成果的科技企业进行股权投资，按行权后投资额的一定比例给予后补助。</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建立</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资金风险财政补偿和分担机制。有限补偿和分担</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贷款风险及知识产权质押融资风险。将开展</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 xml:space="preserve">创新金融服务的商业银行、保险机构及地方金融机构纳入财政风险补偿、风险代偿等范围。 </w:t>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第五十七条 </w:t>
      </w:r>
      <w:r>
        <w:rPr>
          <w:rStyle w:val="17"/>
          <w:rFonts w:hint="default"/>
        </w:rPr>
        <w:t>市、县（市）区</w:t>
      </w:r>
      <w:r>
        <w:rPr>
          <w:rFonts w:hint="eastAsia" w:ascii="仿宋_GB2312" w:hAnsi="仿宋" w:eastAsia="仿宋_GB2312" w:cs="仿宋"/>
          <w:color w:val="000000"/>
          <w:kern w:val="0"/>
          <w:sz w:val="32"/>
          <w:szCs w:val="32"/>
        </w:rPr>
        <w:t>人民政府应当利用多层次资本市场扶持</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企业。建立</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 xml:space="preserve">企业上市后备库。 </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鼓励和支持符合条件的</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企业在境内外多层次资本市场挂牌上市。</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鼓励符合条件的</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企业通过发行公司债券、企业债券等进行直接融资。</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鼓励</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企业发行知识产权证券化产品。</w:t>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第五十八条 </w:t>
      </w:r>
      <w:r>
        <w:rPr>
          <w:rStyle w:val="17"/>
          <w:rFonts w:hint="default"/>
        </w:rPr>
        <w:t>市、县（市）区</w:t>
      </w:r>
      <w:r>
        <w:rPr>
          <w:rFonts w:hint="eastAsia" w:ascii="仿宋_GB2312" w:hAnsi="仿宋" w:eastAsia="仿宋_GB2312" w:cs="仿宋"/>
          <w:color w:val="000000"/>
          <w:kern w:val="0"/>
          <w:sz w:val="32"/>
          <w:szCs w:val="32"/>
        </w:rPr>
        <w:t>人民政府应当建设融资服务平台。利用大数据、区块链、人工智能等</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手段，为</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企业提供投融资对接服务。</w:t>
      </w:r>
    </w:p>
    <w:p>
      <w:pPr>
        <w:ind w:firstLine="640" w:firstLineChars="200"/>
        <w:textAlignment w:val="baseline"/>
        <w:rPr>
          <w:rFonts w:ascii="仿宋_GB2312" w:eastAsia="仿宋_GB2312" w:cs="Arial"/>
          <w:color w:val="000000"/>
          <w:kern w:val="0"/>
          <w:sz w:val="32"/>
          <w:szCs w:val="32"/>
        </w:rPr>
      </w:pPr>
      <w:r>
        <w:rPr>
          <w:rFonts w:hint="eastAsia" w:ascii="仿宋_GB2312" w:hAnsi="仿宋" w:eastAsia="仿宋_GB2312" w:cs="仿宋"/>
          <w:color w:val="000000"/>
          <w:kern w:val="0"/>
          <w:sz w:val="32"/>
          <w:szCs w:val="32"/>
        </w:rPr>
        <w:t>市人民政府</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行政部门应当会同金融工作部门与金融机构建立协调机制，定期发布</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企业及高新技术项目情况，鼓励、引导金融机构设立为</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企业服务的专营</w:t>
      </w:r>
      <w:r>
        <w:rPr>
          <w:rFonts w:hint="eastAsia" w:ascii="仿宋_GB2312" w:eastAsia="仿宋_GB2312" w:cs="Arial"/>
          <w:color w:val="000000"/>
          <w:kern w:val="0"/>
          <w:sz w:val="32"/>
          <w:szCs w:val="32"/>
        </w:rPr>
        <w:t xml:space="preserve">部门。 </w:t>
      </w:r>
    </w:p>
    <w:p>
      <w:pPr>
        <w:pStyle w:val="2"/>
        <w:spacing w:before="225" w:after="225" w:line="540" w:lineRule="exact"/>
        <w:jc w:val="center"/>
        <w:textAlignment w:val="baseline"/>
        <w:rPr>
          <w:rFonts w:ascii="黑体" w:hAnsi="黑体" w:eastAsia="黑体"/>
          <w:b w:val="0"/>
          <w:bCs w:val="0"/>
          <w:color w:val="000000"/>
          <w:sz w:val="32"/>
          <w:szCs w:val="32"/>
        </w:rPr>
      </w:pPr>
      <w:r>
        <w:rPr>
          <w:rFonts w:hint="eastAsia" w:ascii="黑体" w:hAnsi="黑体" w:eastAsia="黑体"/>
          <w:b w:val="0"/>
          <w:bCs w:val="0"/>
          <w:color w:val="000000"/>
          <w:sz w:val="32"/>
          <w:szCs w:val="32"/>
        </w:rPr>
        <w:t xml:space="preserve">第七章 </w:t>
      </w:r>
      <w:r>
        <w:rPr>
          <w:rFonts w:ascii="黑体" w:hAnsi="黑体" w:eastAsia="黑体"/>
          <w:b w:val="0"/>
          <w:bCs w:val="0"/>
          <w:color w:val="000000"/>
          <w:sz w:val="32"/>
          <w:szCs w:val="32"/>
        </w:rPr>
        <w:t xml:space="preserve"> </w:t>
      </w:r>
      <w:r>
        <w:rPr>
          <w:rFonts w:hint="eastAsia" w:ascii="黑体" w:hAnsi="黑体" w:eastAsia="黑体"/>
          <w:b w:val="0"/>
          <w:bCs w:val="0"/>
          <w:color w:val="000000"/>
          <w:sz w:val="32"/>
          <w:szCs w:val="32"/>
        </w:rPr>
        <w:t>科技创新环境</w:t>
      </w:r>
    </w:p>
    <w:p>
      <w:pPr>
        <w:textAlignment w:val="baseline"/>
        <w:rPr>
          <w:b/>
          <w:i/>
          <w:caps/>
          <w:sz w:val="20"/>
        </w:rPr>
      </w:pPr>
    </w:p>
    <w:p>
      <w:pPr>
        <w:widowControl/>
        <w:shd w:val="clear" w:color="auto" w:fill="FFFFFF"/>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第</w:t>
      </w:r>
      <w:r>
        <w:rPr>
          <w:rFonts w:hint="eastAsia" w:ascii="仿宋_GB2312" w:hAnsi="仿宋" w:eastAsia="仿宋_GB2312" w:cs="仿宋"/>
          <w:b/>
          <w:color w:val="000000"/>
          <w:sz w:val="32"/>
          <w:szCs w:val="32"/>
        </w:rPr>
        <w:t>五十九</w:t>
      </w:r>
      <w:r>
        <w:rPr>
          <w:rFonts w:hint="eastAsia" w:ascii="仿宋_GB2312" w:hAnsi="仿宋" w:eastAsia="仿宋_GB2312" w:cs="仿宋"/>
          <w:b/>
          <w:bCs/>
          <w:color w:val="000000"/>
          <w:kern w:val="0"/>
          <w:sz w:val="32"/>
          <w:szCs w:val="32"/>
        </w:rPr>
        <w:t xml:space="preserve">条 </w:t>
      </w:r>
      <w:r>
        <w:rPr>
          <w:rStyle w:val="17"/>
          <w:rFonts w:hint="default"/>
        </w:rPr>
        <w:t>市、县（市）区</w:t>
      </w:r>
      <w:r>
        <w:rPr>
          <w:rFonts w:hint="eastAsia" w:ascii="仿宋_GB2312" w:hAnsi="仿宋" w:eastAsia="仿宋_GB2312" w:cs="仿宋"/>
          <w:color w:val="000000"/>
          <w:kern w:val="0"/>
          <w:sz w:val="32"/>
          <w:szCs w:val="32"/>
        </w:rPr>
        <w:t>人民政府应当集聚高端创新资源，打造</w:t>
      </w:r>
      <w:r>
        <w:rPr>
          <w:rFonts w:hint="eastAsia" w:ascii="仿宋_GB2312" w:hAnsi="仿宋" w:eastAsia="仿宋_GB2312" w:cs="仿宋"/>
          <w:color w:val="000000"/>
          <w:sz w:val="32"/>
          <w:szCs w:val="32"/>
        </w:rPr>
        <w:t>科技创新</w:t>
      </w:r>
      <w:r>
        <w:rPr>
          <w:rFonts w:hint="eastAsia" w:ascii="仿宋_GB2312" w:hAnsi="仿宋" w:eastAsia="仿宋_GB2312" w:cs="仿宋"/>
          <w:color w:val="000000"/>
          <w:kern w:val="0"/>
          <w:sz w:val="32"/>
          <w:szCs w:val="32"/>
        </w:rPr>
        <w:t>环境先行区和示范区。</w:t>
      </w:r>
    </w:p>
    <w:p>
      <w:pPr>
        <w:widowControl/>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支持长春新区建设创新驱动发展引领区。</w:t>
      </w:r>
    </w:p>
    <w:p>
      <w:pPr>
        <w:widowControl/>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促进和保障长春国家高新区、净月国家高新区加快提升自主创新能力，创建长春国家自主创新示范区。</w:t>
      </w:r>
    </w:p>
    <w:p>
      <w:pPr>
        <w:widowControl/>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依托大院大所大校大企业，建设研发中心、科技企业孵化器、众创空间等专业型“双创”平台。加快构建“环吉大双创”生态圈。</w:t>
      </w:r>
    </w:p>
    <w:p>
      <w:pPr>
        <w:widowControl/>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完善高新技术产业开发区、农业高新技术产业示范区、经济（技术）开发区建设体系，加快开发区向现代创新型产业园区转型，培育发展创新型产业集群。</w:t>
      </w:r>
    </w:p>
    <w:p>
      <w:pPr>
        <w:widowControl/>
        <w:shd w:val="clear" w:color="auto" w:fill="FFFFFF"/>
        <w:ind w:firstLine="643" w:firstLineChars="200"/>
        <w:textAlignment w:val="baseline"/>
        <w:rPr>
          <w:rFonts w:ascii="仿宋_GB2312" w:hAnsi="仿宋" w:eastAsia="仿宋_GB2312" w:cs="仿宋"/>
          <w:color w:val="000000"/>
          <w:sz w:val="32"/>
          <w:szCs w:val="32"/>
        </w:rPr>
      </w:pPr>
      <w:r>
        <w:rPr>
          <w:rFonts w:hint="eastAsia" w:ascii="仿宋_GB2312" w:hAnsi="仿宋" w:eastAsia="仿宋_GB2312" w:cs="仿宋"/>
          <w:b/>
          <w:sz w:val="32"/>
          <w:highlight w:val="white"/>
        </w:rPr>
        <w:t>第六十条</w:t>
      </w:r>
      <w:r>
        <w:rPr>
          <w:rFonts w:hint="eastAsia" w:ascii="仿宋_GB2312" w:hAnsi="仿宋" w:eastAsia="仿宋_GB2312" w:cs="仿宋"/>
          <w:b/>
          <w:sz w:val="32"/>
        </w:rPr>
        <w:t xml:space="preserve"> </w:t>
      </w:r>
      <w:r>
        <w:rPr>
          <w:rFonts w:hint="eastAsia" w:ascii="仿宋_GB2312" w:hAnsi="仿宋" w:eastAsia="仿宋_GB2312" w:cs="仿宋"/>
          <w:sz w:val="32"/>
          <w:szCs w:val="32"/>
        </w:rPr>
        <w:t>市人民政</w:t>
      </w:r>
      <w:r>
        <w:rPr>
          <w:rFonts w:hint="eastAsia" w:ascii="仿宋_GB2312" w:hAnsi="仿宋" w:eastAsia="仿宋_GB2312" w:cs="仿宋"/>
          <w:color w:val="000000"/>
          <w:sz w:val="32"/>
          <w:szCs w:val="32"/>
        </w:rPr>
        <w:t>府应当制定</w:t>
      </w:r>
      <w:r>
        <w:rPr>
          <w:rFonts w:hint="eastAsia" w:ascii="仿宋_GB2312" w:hAnsi="仿宋" w:eastAsia="仿宋_GB2312" w:cs="仿宋"/>
          <w:color w:val="000000"/>
          <w:kern w:val="0"/>
          <w:sz w:val="32"/>
          <w:szCs w:val="32"/>
        </w:rPr>
        <w:t>科技</w:t>
      </w:r>
      <w:r>
        <w:rPr>
          <w:rFonts w:hint="eastAsia" w:ascii="仿宋_GB2312" w:hAnsi="仿宋" w:eastAsia="仿宋_GB2312" w:cs="仿宋"/>
          <w:color w:val="000000"/>
          <w:sz w:val="32"/>
          <w:szCs w:val="32"/>
        </w:rPr>
        <w:t>创新区域合作规划，建立全方位、多层次、多渠道的</w:t>
      </w:r>
      <w:r>
        <w:rPr>
          <w:rFonts w:hint="eastAsia" w:ascii="仿宋_GB2312" w:hAnsi="仿宋" w:eastAsia="仿宋_GB2312" w:cs="仿宋"/>
          <w:color w:val="000000"/>
          <w:kern w:val="0"/>
          <w:sz w:val="32"/>
          <w:szCs w:val="32"/>
        </w:rPr>
        <w:t>科技</w:t>
      </w:r>
      <w:r>
        <w:rPr>
          <w:rFonts w:hint="eastAsia" w:ascii="仿宋_GB2312" w:hAnsi="仿宋" w:eastAsia="仿宋_GB2312" w:cs="仿宋"/>
          <w:color w:val="000000"/>
          <w:sz w:val="32"/>
          <w:szCs w:val="32"/>
        </w:rPr>
        <w:t>创新合作体系。</w:t>
      </w:r>
    </w:p>
    <w:p>
      <w:pPr>
        <w:shd w:val="clear" w:color="auto" w:fill="FFFFFF"/>
        <w:ind w:firstLine="640" w:firstLineChars="200"/>
        <w:textAlignment w:val="baseline"/>
        <w:rPr>
          <w:rFonts w:ascii="仿宋" w:hAnsi="仿宋" w:eastAsia="仿宋" w:cs="仿宋"/>
          <w:color w:val="000000"/>
          <w:sz w:val="32"/>
        </w:rPr>
      </w:pPr>
      <w:r>
        <w:rPr>
          <w:rFonts w:hint="eastAsia" w:ascii="仿宋" w:hAnsi="仿宋" w:eastAsia="仿宋" w:cs="仿宋"/>
          <w:color w:val="000000"/>
          <w:sz w:val="32"/>
          <w:highlight w:val="white"/>
        </w:rPr>
        <w:t>市人民政府支持行政区域内创新主体按照全省“一主六双”高质量发展战略布局，遵循市场化法治化方式，加强与省内其他</w:t>
      </w:r>
      <w:r>
        <w:rPr>
          <w:rStyle w:val="17"/>
          <w:rFonts w:hint="default"/>
        </w:rPr>
        <w:t>市、县（市）区</w:t>
      </w:r>
      <w:r>
        <w:rPr>
          <w:rFonts w:hint="eastAsia" w:ascii="仿宋" w:hAnsi="仿宋" w:eastAsia="仿宋" w:cs="仿宋"/>
          <w:color w:val="000000"/>
          <w:sz w:val="32"/>
          <w:highlight w:val="white"/>
        </w:rPr>
        <w:t>的科技创新合作，围绕特色资源开发、乡村振兴需要、可持续发展等开展科技联合研发和成果转化相关活动。</w:t>
      </w:r>
      <w:r>
        <w:rPr>
          <w:rFonts w:hint="eastAsia" w:ascii="仿宋" w:hAnsi="仿宋" w:eastAsia="仿宋" w:cs="仿宋"/>
          <w:color w:val="000000"/>
          <w:sz w:val="32"/>
        </w:rPr>
        <w:t xml:space="preserve"> </w:t>
      </w:r>
    </w:p>
    <w:p>
      <w:pPr>
        <w:widowControl/>
        <w:shd w:val="clear" w:color="auto" w:fill="FFFFFF"/>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sz w:val="32"/>
          <w:highlight w:val="white"/>
        </w:rPr>
        <w:t>市人民政府支持行政区域内创新主体按照国家关于东北地区振兴的总体部署以及哈长城市群等国家战略需要，加强与黑龙江、辽宁两省创新主体的紧密合作，围绕区域产业链、粮食安全、生态体系和战略安全需要开展科技联合研发和成果转化，</w:t>
      </w:r>
      <w:r>
        <w:rPr>
          <w:rFonts w:hint="eastAsia" w:ascii="仿宋" w:hAnsi="仿宋" w:eastAsia="仿宋" w:cs="仿宋"/>
          <w:color w:val="000000"/>
          <w:kern w:val="0"/>
          <w:sz w:val="32"/>
          <w:szCs w:val="32"/>
        </w:rPr>
        <w:t xml:space="preserve">联合共建国家战略科技力量、重要科研平台和重大科学装置。 </w:t>
      </w:r>
    </w:p>
    <w:p>
      <w:pPr>
        <w:ind w:firstLine="640" w:firstLineChars="200"/>
        <w:textAlignment w:val="baseline"/>
        <w:rPr>
          <w:rFonts w:ascii="仿宋_GB2312" w:hAnsi="仿宋" w:eastAsia="仿宋_GB2312" w:cs="仿宋"/>
          <w:color w:val="000000"/>
          <w:sz w:val="32"/>
          <w:szCs w:val="32"/>
        </w:rPr>
      </w:pPr>
      <w:r>
        <w:rPr>
          <w:rFonts w:hint="eastAsia" w:ascii="仿宋_GB2312" w:hAnsi="仿宋" w:eastAsia="仿宋_GB2312" w:cs="仿宋"/>
          <w:color w:val="000000"/>
          <w:sz w:val="32"/>
          <w:szCs w:val="32"/>
        </w:rPr>
        <w:t>鼓励支持建立区域对口合作机制，打造津长（吉浙）“双创”合作区，推进与浙江、天津的全方位对口合作，与京津冀、长三角协同发展。鼓励支持与国内创新能力较强的区域或城市建立产业技术创新合作关系，实施科学技术联合攻关项目，促进创新要素流动。</w:t>
      </w:r>
    </w:p>
    <w:p>
      <w:pPr>
        <w:ind w:firstLine="643" w:firstLineChars="200"/>
        <w:textAlignment w:val="baseline"/>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 xml:space="preserve">第六十一条 </w:t>
      </w:r>
      <w:r>
        <w:rPr>
          <w:rFonts w:hint="eastAsia" w:ascii="仿宋_GB2312" w:hAnsi="仿宋" w:eastAsia="仿宋_GB2312" w:cs="仿宋"/>
          <w:color w:val="000000"/>
          <w:sz w:val="32"/>
          <w:szCs w:val="32"/>
        </w:rPr>
        <w:t>市人民政府支持以东北亚科学技术合作为主题、“一带一路”科学技术合作为主线的国际科学技术合作。支持中韩国际合作示范区建设国际科学技术合作平台。鼓励科学技术研究开发机构、高等学校、企业单独或者合作在境外建立科学技术研究开发机构、离岸创新中心和技术合作平台，利用国外科学技术创新资源，开展科学技术创新国际交流合作。鼓励国外科学技术组织、跨国企业科学技术研究开发中心及知名高等学校、科学技术研究开发机构和科学技术服务机构在本市落户或设立分支机构，相关机构同等享受本市科学技术创新政策、科学技术人才政策。具有营利性的科学技术研究开发机构、服务机构（企业）同等享受本市招商引资政策。支持举办国际科学技术交流活动，县级以上人民政府财政给予补助、补贴。</w:t>
      </w:r>
    </w:p>
    <w:p>
      <w:pPr>
        <w:widowControl/>
        <w:shd w:val="clear" w:color="auto" w:fill="FFFFFF"/>
        <w:ind w:firstLine="630" w:firstLineChars="196"/>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第六十二条 </w:t>
      </w:r>
      <w:r>
        <w:rPr>
          <w:rFonts w:hint="eastAsia" w:ascii="仿宋_GB2312" w:hAnsi="仿宋" w:eastAsia="仿宋_GB2312" w:cs="仿宋"/>
          <w:color w:val="000000"/>
          <w:sz w:val="32"/>
          <w:szCs w:val="32"/>
          <w:shd w:val="clear" w:color="auto" w:fill="FFFFFF"/>
        </w:rPr>
        <w:t>市人民政府对促进经济社会发展做出突出贡献的优秀</w:t>
      </w:r>
      <w:r>
        <w:rPr>
          <w:rFonts w:hint="eastAsia" w:ascii="仿宋_GB2312" w:hAnsi="仿宋" w:eastAsia="仿宋_GB2312" w:cs="仿宋"/>
          <w:color w:val="000000"/>
          <w:sz w:val="32"/>
          <w:szCs w:val="32"/>
        </w:rPr>
        <w:t>科技</w:t>
      </w:r>
      <w:r>
        <w:rPr>
          <w:rFonts w:hint="eastAsia" w:ascii="仿宋_GB2312" w:hAnsi="仿宋" w:eastAsia="仿宋_GB2312" w:cs="仿宋"/>
          <w:color w:val="000000"/>
          <w:sz w:val="32"/>
          <w:szCs w:val="32"/>
          <w:shd w:val="clear" w:color="auto" w:fill="FFFFFF"/>
        </w:rPr>
        <w:t>创新成果、专利项目及相关人员、单位给予表彰奖励。</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鼓励社会力量设立</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创新奖。</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市人民政府</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行政部门应当对社会力量设立</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创新奖的有关活动进行指导和监督。</w:t>
      </w:r>
    </w:p>
    <w:p>
      <w:pPr>
        <w:widowControl/>
        <w:shd w:val="clear" w:color="auto" w:fill="FFFFFF"/>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第六十三条 </w:t>
      </w:r>
      <w:r>
        <w:rPr>
          <w:rStyle w:val="17"/>
          <w:rFonts w:hint="default"/>
        </w:rPr>
        <w:t>市、县（市）区</w:t>
      </w:r>
      <w:r>
        <w:rPr>
          <w:rFonts w:hint="eastAsia" w:ascii="仿宋_GB2312" w:hAnsi="仿宋" w:eastAsia="仿宋_GB2312" w:cs="仿宋"/>
          <w:color w:val="000000"/>
          <w:kern w:val="0"/>
          <w:sz w:val="32"/>
          <w:szCs w:val="32"/>
        </w:rPr>
        <w:t>人民政府应当统筹区域创新重点区域及各类基础设施、公共设施及其他配套设施的开发建设与利用，保障区域创新重点区域及各类创新基地等用地需求。</w:t>
      </w:r>
    </w:p>
    <w:p>
      <w:pPr>
        <w:widowControl/>
        <w:shd w:val="clear" w:color="auto" w:fill="FFFFFF"/>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第六十四条 </w:t>
      </w:r>
      <w:r>
        <w:rPr>
          <w:rFonts w:hint="eastAsia" w:ascii="仿宋_GB2312" w:hAnsi="仿宋" w:eastAsia="仿宋_GB2312" w:cs="仿宋"/>
          <w:color w:val="000000"/>
          <w:kern w:val="0"/>
          <w:sz w:val="32"/>
          <w:szCs w:val="32"/>
        </w:rPr>
        <w:t>市人民政府应当将</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lang w:bidi="ar"/>
        </w:rPr>
        <w:t>创新产品、服务</w:t>
      </w:r>
      <w:r>
        <w:rPr>
          <w:rFonts w:hint="eastAsia" w:ascii="仿宋_GB2312" w:hAnsi="仿宋" w:eastAsia="仿宋_GB2312" w:cs="仿宋"/>
          <w:color w:val="000000"/>
          <w:kern w:val="0"/>
          <w:sz w:val="32"/>
          <w:szCs w:val="32"/>
        </w:rPr>
        <w:t>纳入政府采购目录，在同等条件下优先采购。</w:t>
      </w:r>
    </w:p>
    <w:p>
      <w:pPr>
        <w:widowControl/>
        <w:shd w:val="clear" w:color="auto" w:fill="FFFFFF"/>
        <w:ind w:firstLine="640" w:firstLineChars="200"/>
        <w:textAlignment w:val="baseline"/>
        <w:rPr>
          <w:rFonts w:ascii="仿宋_GB2312" w:hAnsi="仿宋" w:eastAsia="仿宋_GB2312" w:cs="仿宋"/>
          <w:color w:val="000000"/>
          <w:kern w:val="0"/>
          <w:sz w:val="32"/>
          <w:szCs w:val="32"/>
        </w:rPr>
      </w:pPr>
      <w:r>
        <w:rPr>
          <w:rStyle w:val="17"/>
          <w:rFonts w:hint="default"/>
        </w:rPr>
        <w:t>市、县（市）区</w:t>
      </w:r>
      <w:r>
        <w:rPr>
          <w:rFonts w:hint="eastAsia" w:ascii="仿宋_GB2312" w:hAnsi="仿宋" w:eastAsia="仿宋_GB2312" w:cs="仿宋"/>
          <w:color w:val="000000"/>
          <w:kern w:val="0"/>
          <w:sz w:val="32"/>
          <w:szCs w:val="32"/>
        </w:rPr>
        <w:t>人民政府对具有自主</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创新产品首次投向市场，经评价</w:t>
      </w:r>
      <w:r>
        <w:rPr>
          <w:rFonts w:hint="eastAsia" w:ascii="仿宋_GB2312" w:hAnsi="仿宋" w:eastAsia="仿宋_GB2312" w:cs="仿宋"/>
          <w:color w:val="000000"/>
          <w:kern w:val="0"/>
          <w:sz w:val="32"/>
          <w:szCs w:val="32"/>
          <w:lang w:bidi="ar"/>
        </w:rPr>
        <w:t>能够满足政府采购需求</w:t>
      </w:r>
      <w:r>
        <w:rPr>
          <w:rFonts w:hint="eastAsia" w:ascii="仿宋_GB2312" w:hAnsi="仿宋" w:eastAsia="仿宋_GB2312" w:cs="仿宋"/>
          <w:kern w:val="0"/>
          <w:sz w:val="32"/>
          <w:szCs w:val="32"/>
          <w:lang w:bidi="ar"/>
        </w:rPr>
        <w:t>的</w:t>
      </w:r>
      <w:r>
        <w:rPr>
          <w:rFonts w:hint="eastAsia" w:ascii="仿宋_GB2312" w:hAnsi="仿宋" w:eastAsia="仿宋_GB2312" w:cs="仿宋"/>
          <w:kern w:val="0"/>
          <w:sz w:val="32"/>
          <w:szCs w:val="32"/>
        </w:rPr>
        <w:t>，应当率先购买。</w:t>
      </w:r>
    </w:p>
    <w:p>
      <w:pPr>
        <w:widowControl/>
        <w:shd w:val="clear" w:color="auto" w:fill="FFFFFF"/>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政府采购的产品尚待研究开发的，采购人应当运用招标方式确定</w:t>
      </w:r>
      <w:r>
        <w:rPr>
          <w:rFonts w:hint="eastAsia" w:ascii="仿宋_GB2312" w:hAnsi="仿宋" w:eastAsia="仿宋_GB2312" w:cs="仿宋"/>
          <w:color w:val="000000"/>
          <w:kern w:val="0"/>
          <w:sz w:val="32"/>
          <w:szCs w:val="32"/>
          <w:lang w:bidi="ar"/>
        </w:rPr>
        <w:t>企业、高等院校、</w:t>
      </w:r>
      <w:r>
        <w:rPr>
          <w:rFonts w:hint="eastAsia" w:ascii="仿宋_GB2312" w:hAnsi="仿宋" w:eastAsia="仿宋_GB2312" w:cs="仿宋"/>
          <w:color w:val="000000"/>
          <w:sz w:val="32"/>
          <w:szCs w:val="32"/>
        </w:rPr>
        <w:t>研究开发</w:t>
      </w:r>
      <w:r>
        <w:rPr>
          <w:rFonts w:hint="eastAsia" w:ascii="仿宋_GB2312" w:hAnsi="仿宋" w:eastAsia="仿宋_GB2312" w:cs="仿宋"/>
          <w:color w:val="000000"/>
          <w:kern w:val="0"/>
          <w:sz w:val="32"/>
          <w:szCs w:val="32"/>
          <w:lang w:bidi="ar"/>
        </w:rPr>
        <w:t>机构进行研发,产品研发合格后按约定开展采购。</w:t>
      </w:r>
    </w:p>
    <w:p>
      <w:pPr>
        <w:widowControl/>
        <w:shd w:val="clear" w:color="auto" w:fill="FFFFFF"/>
        <w:ind w:firstLine="640" w:firstLineChars="200"/>
        <w:textAlignment w:val="baseline"/>
        <w:rPr>
          <w:rFonts w:ascii="仿宋_GB2312" w:hAnsi="仿宋" w:eastAsia="仿宋_GB2312" w:cs="仿宋"/>
          <w:color w:val="000000"/>
          <w:kern w:val="0"/>
          <w:sz w:val="32"/>
          <w:szCs w:val="32"/>
          <w:lang w:bidi="ar"/>
        </w:rPr>
      </w:pPr>
      <w:r>
        <w:rPr>
          <w:rStyle w:val="17"/>
          <w:rFonts w:hint="default"/>
        </w:rPr>
        <w:t>市、县（市）区</w:t>
      </w:r>
      <w:r>
        <w:rPr>
          <w:rFonts w:hint="eastAsia" w:ascii="仿宋_GB2312" w:hAnsi="仿宋" w:eastAsia="仿宋_GB2312" w:cs="仿宋"/>
          <w:color w:val="000000"/>
          <w:kern w:val="0"/>
          <w:sz w:val="32"/>
          <w:szCs w:val="32"/>
        </w:rPr>
        <w:t>人民政府推行</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创新公共服务购买制度，按照</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创新管理需要和市场化原则，向</w:t>
      </w:r>
      <w:r>
        <w:rPr>
          <w:rFonts w:hint="eastAsia" w:ascii="仿宋_GB2312" w:hAnsi="仿宋" w:eastAsia="仿宋_GB2312" w:cs="仿宋"/>
          <w:color w:val="000000"/>
          <w:kern w:val="0"/>
          <w:sz w:val="32"/>
          <w:szCs w:val="32"/>
          <w:lang w:bidi="ar"/>
        </w:rPr>
        <w:t>企业、高等院校、</w:t>
      </w:r>
      <w:r>
        <w:rPr>
          <w:rFonts w:hint="eastAsia" w:ascii="仿宋_GB2312" w:hAnsi="仿宋" w:eastAsia="仿宋_GB2312" w:cs="仿宋"/>
          <w:color w:val="000000"/>
          <w:sz w:val="32"/>
          <w:szCs w:val="32"/>
        </w:rPr>
        <w:t>研究开发</w:t>
      </w:r>
      <w:r>
        <w:rPr>
          <w:rFonts w:hint="eastAsia" w:ascii="仿宋_GB2312" w:hAnsi="仿宋" w:eastAsia="仿宋_GB2312" w:cs="仿宋"/>
          <w:color w:val="000000"/>
          <w:kern w:val="0"/>
          <w:sz w:val="32"/>
          <w:szCs w:val="32"/>
          <w:lang w:bidi="ar"/>
        </w:rPr>
        <w:t>机构及其他社会组织购买</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lang w:bidi="ar"/>
        </w:rPr>
        <w:t>创新服务。</w:t>
      </w:r>
    </w:p>
    <w:p>
      <w:pPr>
        <w:ind w:firstLine="640" w:firstLineChars="200"/>
        <w:textAlignment w:val="baseline"/>
        <w:rPr>
          <w:rFonts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rPr>
        <w:t>鼓励通过购买服务等方式，引入高端智库、咨询机构参与</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创新决策咨询。</w:t>
      </w:r>
    </w:p>
    <w:p>
      <w:pPr>
        <w:ind w:firstLine="643" w:firstLineChars="200"/>
        <w:textAlignment w:val="baseline"/>
        <w:rPr>
          <w:rFonts w:ascii="仿宋_GB2312" w:hAnsi="仿宋" w:eastAsia="仿宋_GB2312" w:cs="仿宋"/>
          <w:kern w:val="0"/>
          <w:sz w:val="32"/>
          <w:szCs w:val="32"/>
          <w:lang w:bidi="ar"/>
        </w:rPr>
      </w:pPr>
      <w:r>
        <w:rPr>
          <w:rFonts w:hint="eastAsia" w:ascii="仿宋_GB2312" w:hAnsi="仿宋" w:eastAsia="仿宋_GB2312" w:cs="仿宋"/>
          <w:b/>
          <w:bCs/>
          <w:color w:val="000000"/>
          <w:kern w:val="0"/>
          <w:sz w:val="32"/>
          <w:szCs w:val="32"/>
          <w:lang w:bidi="ar"/>
        </w:rPr>
        <w:t xml:space="preserve">第六十五条 </w:t>
      </w:r>
      <w:r>
        <w:rPr>
          <w:rFonts w:hint="eastAsia" w:ascii="仿宋_GB2312" w:hAnsi="仿宋" w:eastAsia="仿宋_GB2312" w:cs="仿宋"/>
          <w:color w:val="000000"/>
          <w:kern w:val="0"/>
          <w:sz w:val="32"/>
          <w:szCs w:val="32"/>
          <w:lang w:bidi="ar"/>
        </w:rPr>
        <w:t>支持重大科技基础设施、重大科技研发平台等创新平台和大型科学仪器设施向社会开放。</w:t>
      </w:r>
      <w:r>
        <w:rPr>
          <w:rFonts w:hint="eastAsia" w:ascii="仿宋_GB2312" w:hAnsi="仿宋" w:eastAsia="仿宋_GB2312" w:cs="仿宋"/>
          <w:kern w:val="0"/>
          <w:sz w:val="32"/>
          <w:szCs w:val="32"/>
          <w:lang w:bidi="ar"/>
        </w:rPr>
        <w:t>利用财政资金购置的大型科学仪器设施等基本信息应当向社会公布。</w:t>
      </w:r>
    </w:p>
    <w:p>
      <w:pPr>
        <w:ind w:firstLine="643" w:firstLineChars="200"/>
        <w:textAlignment w:val="baseline"/>
        <w:rPr>
          <w:rFonts w:ascii="仿宋_GB2312" w:hAnsi="仿宋" w:eastAsia="仿宋_GB2312" w:cs="仿宋"/>
          <w:color w:val="000000"/>
          <w:sz w:val="32"/>
        </w:rPr>
      </w:pPr>
      <w:r>
        <w:rPr>
          <w:rFonts w:hint="eastAsia" w:ascii="仿宋_GB2312" w:hAnsi="仿宋" w:eastAsia="仿宋_GB2312" w:cs="仿宋"/>
          <w:b/>
          <w:bCs/>
          <w:color w:val="000000"/>
          <w:kern w:val="0"/>
          <w:sz w:val="32"/>
          <w:szCs w:val="32"/>
        </w:rPr>
        <w:t xml:space="preserve">第六十六条 </w:t>
      </w:r>
      <w:r>
        <w:rPr>
          <w:rFonts w:hint="eastAsia" w:ascii="仿宋_GB2312" w:hAnsi="仿宋" w:eastAsia="仿宋_GB2312" w:cs="仿宋"/>
          <w:color w:val="000000"/>
          <w:kern w:val="0"/>
          <w:sz w:val="32"/>
          <w:szCs w:val="32"/>
        </w:rPr>
        <w:t>改革完善</w:t>
      </w:r>
      <w:r>
        <w:rPr>
          <w:rStyle w:val="17"/>
          <w:rFonts w:hint="default"/>
        </w:rPr>
        <w:t>市、县（市）区</w:t>
      </w:r>
      <w:r>
        <w:rPr>
          <w:rFonts w:hint="eastAsia" w:ascii="仿宋_GB2312" w:hAnsi="仿宋" w:eastAsia="仿宋_GB2312" w:cs="仿宋"/>
          <w:color w:val="000000"/>
          <w:kern w:val="0"/>
          <w:sz w:val="32"/>
          <w:szCs w:val="32"/>
        </w:rPr>
        <w:t>财政</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研发经费管理。扩大经费管理自主权，完善经费拨付机制，加大</w:t>
      </w:r>
      <w:r>
        <w:rPr>
          <w:rFonts w:hint="eastAsia" w:ascii="仿宋_GB2312" w:hAnsi="仿宋" w:eastAsia="仿宋_GB2312" w:cs="仿宋"/>
          <w:color w:val="000000"/>
          <w:sz w:val="32"/>
          <w:szCs w:val="32"/>
        </w:rPr>
        <w:t>科研</w:t>
      </w:r>
      <w:r>
        <w:rPr>
          <w:rFonts w:hint="eastAsia" w:ascii="仿宋_GB2312" w:hAnsi="仿宋" w:eastAsia="仿宋_GB2312" w:cs="仿宋"/>
          <w:color w:val="000000"/>
          <w:kern w:val="0"/>
          <w:sz w:val="32"/>
          <w:szCs w:val="32"/>
        </w:rPr>
        <w:t>人员激励力度，减轻</w:t>
      </w:r>
      <w:r>
        <w:rPr>
          <w:rFonts w:hint="eastAsia" w:ascii="仿宋_GB2312" w:hAnsi="仿宋" w:eastAsia="仿宋_GB2312" w:cs="仿宋"/>
          <w:color w:val="000000"/>
          <w:sz w:val="32"/>
          <w:szCs w:val="32"/>
        </w:rPr>
        <w:t>科研</w:t>
      </w:r>
      <w:r>
        <w:rPr>
          <w:rFonts w:hint="eastAsia" w:ascii="仿宋_GB2312" w:hAnsi="仿宋" w:eastAsia="仿宋_GB2312" w:cs="仿宋"/>
          <w:color w:val="000000"/>
          <w:kern w:val="0"/>
          <w:sz w:val="32"/>
          <w:szCs w:val="32"/>
        </w:rPr>
        <w:t>人员事务性负担，创新经费投入与支持方式，改进绩效管理和监督检查。</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扩大科研人员经费使用自主权，简化</w:t>
      </w:r>
      <w:r>
        <w:rPr>
          <w:rFonts w:hint="eastAsia" w:ascii="仿宋_GB2312" w:hAnsi="仿宋" w:eastAsia="仿宋_GB2312" w:cs="仿宋"/>
          <w:color w:val="000000"/>
          <w:sz w:val="32"/>
          <w:szCs w:val="32"/>
        </w:rPr>
        <w:t>科研</w:t>
      </w:r>
      <w:r>
        <w:rPr>
          <w:rFonts w:hint="eastAsia" w:ascii="仿宋_GB2312" w:hAnsi="仿宋" w:eastAsia="仿宋_GB2312" w:cs="仿宋"/>
          <w:color w:val="000000"/>
          <w:kern w:val="0"/>
          <w:sz w:val="32"/>
          <w:szCs w:val="32"/>
        </w:rPr>
        <w:t>经费预算编制，推行</w:t>
      </w:r>
      <w:r>
        <w:rPr>
          <w:rFonts w:hint="eastAsia" w:ascii="仿宋_GB2312" w:hAnsi="仿宋" w:eastAsia="仿宋_GB2312" w:cs="仿宋"/>
          <w:color w:val="000000"/>
          <w:sz w:val="32"/>
          <w:szCs w:val="32"/>
        </w:rPr>
        <w:t>科研</w:t>
      </w:r>
      <w:r>
        <w:rPr>
          <w:rFonts w:hint="eastAsia" w:ascii="仿宋_GB2312" w:hAnsi="仿宋" w:eastAsia="仿宋_GB2312" w:cs="仿宋"/>
          <w:color w:val="000000"/>
          <w:kern w:val="0"/>
          <w:sz w:val="32"/>
          <w:szCs w:val="32"/>
        </w:rPr>
        <w:t>经费负面清单、包干制等。</w:t>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第六十七条 </w:t>
      </w:r>
      <w:r>
        <w:rPr>
          <w:rFonts w:hint="eastAsia" w:ascii="仿宋_GB2312" w:hAnsi="仿宋" w:eastAsia="仿宋_GB2312" w:cs="仿宋"/>
          <w:color w:val="000000"/>
          <w:kern w:val="0"/>
          <w:sz w:val="32"/>
          <w:szCs w:val="32"/>
        </w:rPr>
        <w:t>财政资金资助的</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项目实施期间，</w:t>
      </w:r>
      <w:r>
        <w:rPr>
          <w:rFonts w:hint="eastAsia" w:ascii="仿宋_GB2312" w:hAnsi="仿宋" w:eastAsia="仿宋_GB2312" w:cs="仿宋"/>
          <w:color w:val="000000"/>
          <w:sz w:val="32"/>
          <w:szCs w:val="32"/>
        </w:rPr>
        <w:t>研究开发</w:t>
      </w:r>
      <w:r>
        <w:rPr>
          <w:rFonts w:hint="eastAsia" w:ascii="仿宋_GB2312" w:hAnsi="仿宋" w:eastAsia="仿宋_GB2312" w:cs="仿宋"/>
          <w:color w:val="000000"/>
          <w:kern w:val="0"/>
          <w:sz w:val="32"/>
          <w:szCs w:val="32"/>
        </w:rPr>
        <w:t>人员可以在研究方向不变、主要技术指标不降低的前提下，自主调整</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研究方案和技术路线。</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项目负责人根据项目需要，自主组建调整</w:t>
      </w:r>
      <w:r>
        <w:rPr>
          <w:rFonts w:hint="eastAsia" w:ascii="仿宋_GB2312" w:hAnsi="仿宋" w:eastAsia="仿宋_GB2312" w:cs="仿宋"/>
          <w:color w:val="000000"/>
          <w:sz w:val="32"/>
          <w:szCs w:val="32"/>
        </w:rPr>
        <w:t>科</w:t>
      </w:r>
      <w:r>
        <w:rPr>
          <w:rFonts w:hint="eastAsia" w:ascii="仿宋_GB2312" w:hAnsi="仿宋" w:eastAsia="仿宋_GB2312" w:cs="仿宋"/>
          <w:color w:val="000000"/>
          <w:kern w:val="0"/>
          <w:sz w:val="32"/>
          <w:szCs w:val="32"/>
        </w:rPr>
        <w:t>研团队，报项目管理机构备案。</w:t>
      </w:r>
    </w:p>
    <w:p>
      <w:pPr>
        <w:ind w:firstLine="640" w:firstLineChars="200"/>
        <w:textAlignment w:val="baseline"/>
        <w:rPr>
          <w:rFonts w:ascii="仿宋_GB2312" w:hAnsi="仿宋" w:eastAsia="仿宋_GB2312" w:cs="仿宋"/>
          <w:color w:val="FF0000"/>
          <w:kern w:val="0"/>
          <w:sz w:val="32"/>
          <w:szCs w:val="32"/>
        </w:rPr>
      </w:pPr>
      <w:r>
        <w:rPr>
          <w:rStyle w:val="17"/>
          <w:rFonts w:hint="default"/>
        </w:rPr>
        <w:t>市、县（市）区</w:t>
      </w:r>
      <w:r>
        <w:rPr>
          <w:rFonts w:hint="eastAsia" w:ascii="仿宋_GB2312" w:hAnsi="仿宋" w:eastAsia="仿宋_GB2312" w:cs="仿宋"/>
          <w:color w:val="000000"/>
          <w:kern w:val="0"/>
          <w:sz w:val="32"/>
          <w:szCs w:val="32"/>
        </w:rPr>
        <w:t>人民政府相关项目主管部门应当建立以结果管理为导向的</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 xml:space="preserve">项目管理体制，部门间监督检查结果互认。 </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审计部门依法开展</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项目审计工作，审计结果互认。</w:t>
      </w:r>
    </w:p>
    <w:p>
      <w:pPr>
        <w:widowControl/>
        <w:shd w:val="clear" w:color="auto" w:fill="FFFFFF"/>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第六十八条 </w:t>
      </w:r>
      <w:r>
        <w:rPr>
          <w:rFonts w:hint="eastAsia" w:ascii="仿宋_GB2312" w:hAnsi="仿宋" w:eastAsia="仿宋_GB2312" w:cs="仿宋"/>
          <w:color w:val="000000"/>
          <w:kern w:val="0"/>
          <w:sz w:val="32"/>
          <w:szCs w:val="32"/>
        </w:rPr>
        <w:t>推动构建科技伦理治理体系，建立伦理风险评估和伦理审查机制。涉及生命科学、医学、人工智能等前沿领域，或者对社会、生态环境具有潜在威胁的，应当进行伦理审查。</w:t>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第六十九条 </w:t>
      </w:r>
      <w:r>
        <w:rPr>
          <w:rStyle w:val="17"/>
          <w:rFonts w:hint="default"/>
        </w:rPr>
        <w:t>市、县（市）区</w:t>
      </w:r>
      <w:r>
        <w:rPr>
          <w:rFonts w:hint="eastAsia" w:ascii="仿宋_GB2312" w:hAnsi="仿宋" w:eastAsia="仿宋_GB2312" w:cs="仿宋"/>
          <w:color w:val="000000"/>
          <w:kern w:val="0"/>
          <w:sz w:val="32"/>
          <w:szCs w:val="32"/>
        </w:rPr>
        <w:t>人民政府科技行政部门应当会同相关行政部门建立科技创新诚信管理制度，制定诚信管理办法，建立诚信档案。</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对企业、高等院校、研究开发机构科技人员在科研中的失信行为进行处理，根据处理决定，纳入诚信档案。</w:t>
      </w:r>
    </w:p>
    <w:p>
      <w:pPr>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科研诚信档案作为科技人员评聘专业技术职务或者职称、授予科技奖项、承担科技项目的重要依据。</w:t>
      </w:r>
    </w:p>
    <w:p>
      <w:pPr>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第七十条 </w:t>
      </w:r>
      <w:r>
        <w:rPr>
          <w:rStyle w:val="17"/>
          <w:rFonts w:hint="default"/>
        </w:rPr>
        <w:t>市、县（市）区</w:t>
      </w:r>
      <w:r>
        <w:rPr>
          <w:rFonts w:hint="eastAsia" w:ascii="仿宋_GB2312" w:hAnsi="仿宋" w:eastAsia="仿宋_GB2312" w:cs="仿宋"/>
          <w:color w:val="000000"/>
          <w:kern w:val="0"/>
          <w:sz w:val="32"/>
          <w:szCs w:val="32"/>
        </w:rPr>
        <w:t>人民政府对财政资金资助的科技项目，其原始记录证明项目承担单位和科技人员已经履行了勤勉尽责义务仍不能完成的，经项目主管部门组织专家论证后，该项目可以结题。该项目承担单位和个人继续申请利用财政资金设立的科技项目不受影响。项目承担单位应当加强对原始记录的管理，指导、督促科技人员规范、及时、准确做好科技研究开发、试验等科技研发记录，确保原始记录客观、真实、完整。</w:t>
      </w:r>
    </w:p>
    <w:p>
      <w:pPr>
        <w:spacing w:line="560" w:lineRule="exact"/>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第七十一条 </w:t>
      </w:r>
      <w:r>
        <w:rPr>
          <w:rFonts w:hint="eastAsia" w:ascii="仿宋_GB2312" w:hAnsi="仿宋" w:eastAsia="仿宋_GB2312" w:cs="仿宋"/>
          <w:color w:val="000000"/>
          <w:kern w:val="0"/>
          <w:sz w:val="32"/>
          <w:szCs w:val="32"/>
        </w:rPr>
        <w:t>在不违反法律法规的前提下，因不可抗力、政策重大变化等因素导致科技成果转化失败的，有关人员不承担责任。</w:t>
      </w:r>
    </w:p>
    <w:p>
      <w:pPr>
        <w:spacing w:line="560" w:lineRule="exact"/>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政府设立的天使投资机构、高等院校、研究开发机构、国有独资企业（公司）以及国有资本控股公司的相关负责人已经履行勤勉尽责义务，未牟取非法利益的，不因科技成果转化后续价值变化而产生决策责任。</w:t>
      </w:r>
    </w:p>
    <w:p>
      <w:pPr>
        <w:spacing w:line="560" w:lineRule="exact"/>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政府设立的天使投资机构、高等院校、研究开发机构、国有独资企业（公司）以及国有资本控股公司的相关负责人根据法律法规和本单位依法制定的规章制度，开展科技成果转化工作，履行了民主决策程序、监督管理职责、信息公示义务及合理注意义务的，即视为已经履行勤勉尽责义务。 </w:t>
      </w:r>
    </w:p>
    <w:p>
      <w:pPr>
        <w:widowControl/>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第七十二条 </w:t>
      </w:r>
      <w:r>
        <w:rPr>
          <w:rFonts w:hint="eastAsia" w:ascii="仿宋_GB2312" w:hAnsi="仿宋" w:eastAsia="仿宋_GB2312" w:cs="仿宋"/>
          <w:color w:val="000000"/>
          <w:kern w:val="0"/>
          <w:sz w:val="32"/>
          <w:szCs w:val="32"/>
        </w:rPr>
        <w:t>市人民政府应当实施知识产权战略，打造知识产权强</w:t>
      </w:r>
      <w:r>
        <w:rPr>
          <w:rStyle w:val="17"/>
          <w:rFonts w:hint="default"/>
        </w:rPr>
        <w:t>市</w:t>
      </w:r>
      <w:r>
        <w:rPr>
          <w:rFonts w:hint="eastAsia" w:ascii="仿宋_GB2312" w:hAnsi="仿宋" w:eastAsia="仿宋_GB2312" w:cs="仿宋"/>
          <w:color w:val="000000"/>
          <w:kern w:val="0"/>
          <w:sz w:val="32"/>
          <w:szCs w:val="32"/>
        </w:rPr>
        <w:t xml:space="preserve">，鼓励支持知识产权创造、运用，加强知识产权保护，建设中国（长春）知识产权保护中心。 </w:t>
      </w:r>
    </w:p>
    <w:p>
      <w:pPr>
        <w:widowControl/>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实施知识产权质量提升工程，鼓励企业、高等院校、研究开发机构培育高价值专利，加强知识产权储备。</w:t>
      </w:r>
    </w:p>
    <w:p>
      <w:pPr>
        <w:widowControl/>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推动知识产权运营服务体系建设，鼓励和支持单位或者个人依法组建知识产权运营服务机构，鼓励和支持第三方机构托管、运营知识产权。</w:t>
      </w:r>
    </w:p>
    <w:p>
      <w:pPr>
        <w:widowControl/>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建立健全和完善重大经济活动知识产权评估评价制度，利用财政性资金和国有资本引进或者政府投资的与知识产权相关的重大建设项目、重点引进项目、核心技术转让等事项，应当进行知识产权评估评价。</w:t>
      </w:r>
    </w:p>
    <w:p>
      <w:pPr>
        <w:widowControl/>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第七十三条 </w:t>
      </w:r>
      <w:r>
        <w:rPr>
          <w:rStyle w:val="17"/>
          <w:rFonts w:hint="default"/>
        </w:rPr>
        <w:t>市、县（市）区</w:t>
      </w:r>
      <w:r>
        <w:rPr>
          <w:rFonts w:hint="eastAsia" w:ascii="仿宋_GB2312" w:hAnsi="仿宋" w:eastAsia="仿宋_GB2312" w:cs="仿宋"/>
          <w:color w:val="000000"/>
          <w:kern w:val="0"/>
          <w:sz w:val="32"/>
          <w:szCs w:val="32"/>
        </w:rPr>
        <w:t>人民政府应当制定科学普及发展规划，提升科普服务能力，提高全民科学素质。</w:t>
      </w:r>
    </w:p>
    <w:p>
      <w:pPr>
        <w:widowControl/>
        <w:ind w:firstLine="640"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加强科普设施建设，提高科普基础设施覆盖率。鼓励企业、高等院校、研究开发机构、社会团体和非盈利组织等建设专业科普场馆。加强部门、行业共建特色科普示范基地。</w:t>
      </w:r>
    </w:p>
    <w:p>
      <w:pPr>
        <w:pStyle w:val="2"/>
        <w:spacing w:before="225" w:after="225" w:line="540" w:lineRule="exact"/>
        <w:jc w:val="center"/>
        <w:textAlignment w:val="baseline"/>
        <w:rPr>
          <w:rFonts w:ascii="黑体" w:hAnsi="黑体" w:eastAsia="黑体"/>
          <w:b w:val="0"/>
          <w:bCs w:val="0"/>
          <w:color w:val="000000"/>
          <w:sz w:val="32"/>
          <w:szCs w:val="32"/>
        </w:rPr>
      </w:pPr>
      <w:r>
        <w:rPr>
          <w:rFonts w:hint="eastAsia" w:ascii="黑体" w:hAnsi="黑体" w:eastAsia="黑体"/>
          <w:b w:val="0"/>
          <w:bCs w:val="0"/>
          <w:color w:val="000000"/>
          <w:sz w:val="32"/>
          <w:szCs w:val="32"/>
        </w:rPr>
        <w:t>第八章 附则</w:t>
      </w:r>
    </w:p>
    <w:p>
      <w:pPr>
        <w:textAlignment w:val="baseline"/>
        <w:rPr>
          <w:b/>
          <w:i/>
          <w:caps/>
          <w:sz w:val="20"/>
        </w:rPr>
      </w:pPr>
    </w:p>
    <w:p>
      <w:pPr>
        <w:widowControl/>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第</w:t>
      </w:r>
      <w:r>
        <w:rPr>
          <w:rFonts w:hint="eastAsia" w:ascii="仿宋_GB2312" w:hAnsi="仿宋" w:eastAsia="仿宋_GB2312" w:cs="仿宋"/>
          <w:b/>
          <w:color w:val="000000"/>
          <w:kern w:val="0"/>
          <w:sz w:val="32"/>
          <w:szCs w:val="32"/>
        </w:rPr>
        <w:t>七十四</w:t>
      </w:r>
      <w:r>
        <w:rPr>
          <w:rFonts w:hint="eastAsia" w:ascii="仿宋_GB2312" w:hAnsi="仿宋" w:eastAsia="仿宋_GB2312" w:cs="仿宋"/>
          <w:b/>
          <w:bCs/>
          <w:color w:val="000000"/>
          <w:kern w:val="0"/>
          <w:sz w:val="32"/>
          <w:szCs w:val="32"/>
        </w:rPr>
        <w:t xml:space="preserve">条 </w:t>
      </w:r>
      <w:r>
        <w:rPr>
          <w:rFonts w:hint="eastAsia" w:ascii="仿宋_GB2312" w:hAnsi="仿宋" w:eastAsia="仿宋_GB2312" w:cs="仿宋"/>
          <w:color w:val="000000"/>
          <w:kern w:val="0"/>
          <w:sz w:val="32"/>
          <w:szCs w:val="32"/>
        </w:rPr>
        <w:t>国家、省在本行政区域企业、高等院校、</w:t>
      </w:r>
      <w:r>
        <w:rPr>
          <w:rFonts w:hint="eastAsia" w:ascii="仿宋_GB2312" w:hAnsi="仿宋" w:eastAsia="仿宋_GB2312" w:cs="仿宋"/>
          <w:color w:val="000000"/>
          <w:sz w:val="32"/>
          <w:szCs w:val="32"/>
        </w:rPr>
        <w:t>研究开发</w:t>
      </w:r>
      <w:r>
        <w:rPr>
          <w:rFonts w:hint="eastAsia" w:ascii="仿宋_GB2312" w:hAnsi="仿宋" w:eastAsia="仿宋_GB2312" w:cs="仿宋"/>
          <w:color w:val="000000"/>
          <w:kern w:val="0"/>
          <w:sz w:val="32"/>
          <w:szCs w:val="32"/>
        </w:rPr>
        <w:t>机构开展</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创新和</w:t>
      </w:r>
      <w:r>
        <w:rPr>
          <w:rFonts w:hint="eastAsia" w:ascii="仿宋_GB2312" w:hAnsi="仿宋" w:eastAsia="仿宋_GB2312" w:cs="仿宋"/>
          <w:color w:val="000000"/>
          <w:sz w:val="32"/>
          <w:szCs w:val="32"/>
        </w:rPr>
        <w:t>科技</w:t>
      </w:r>
      <w:r>
        <w:rPr>
          <w:rFonts w:hint="eastAsia" w:ascii="仿宋_GB2312" w:hAnsi="仿宋" w:eastAsia="仿宋_GB2312" w:cs="仿宋"/>
          <w:color w:val="000000"/>
          <w:kern w:val="0"/>
          <w:sz w:val="32"/>
          <w:szCs w:val="32"/>
        </w:rPr>
        <w:t>成果转化，参照适用本条例。</w:t>
      </w:r>
    </w:p>
    <w:p>
      <w:pPr>
        <w:widowControl/>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color w:val="000000"/>
          <w:kern w:val="0"/>
          <w:sz w:val="32"/>
          <w:szCs w:val="32"/>
        </w:rPr>
        <w:t>第七十五条</w:t>
      </w:r>
      <w:r>
        <w:rPr>
          <w:rFonts w:hint="eastAsia" w:ascii="仿宋_GB2312" w:hAnsi="仿宋" w:eastAsia="仿宋_GB2312" w:cs="仿宋"/>
          <w:color w:val="000000"/>
          <w:kern w:val="0"/>
          <w:sz w:val="32"/>
          <w:szCs w:val="32"/>
        </w:rPr>
        <w:t xml:space="preserve"> 本条例未尽事宜，按国家和省有关法律法规执行。</w:t>
      </w:r>
    </w:p>
    <w:p>
      <w:pPr>
        <w:widowControl/>
        <w:ind w:firstLine="643" w:firstLineChars="200"/>
        <w:textAlignment w:val="baseline"/>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第七十六条 </w:t>
      </w:r>
      <w:r>
        <w:rPr>
          <w:rFonts w:hint="eastAsia" w:ascii="仿宋_GB2312" w:hAnsi="仿宋" w:eastAsia="仿宋_GB2312" w:cs="仿宋"/>
          <w:color w:val="000000"/>
          <w:kern w:val="0"/>
          <w:sz w:val="32"/>
          <w:szCs w:val="32"/>
        </w:rPr>
        <w:t>本条例自X年X月X日起施行。《长春市科技进步条例》《长春市技术市场管理条例》同时废止。</w:t>
      </w:r>
    </w:p>
    <w:p>
      <w:pPr>
        <w:rPr>
          <w:rFonts w:ascii="仿宋_GB2312" w:hAnsi="仿宋" w:eastAsia="仿宋_GB2312" w:cs="仿宋"/>
          <w:color w:val="000000"/>
          <w:kern w:val="0"/>
          <w:sz w:val="32"/>
          <w:szCs w:val="32"/>
          <w:lang w:val="en-US" w:eastAsia="zh-CN" w:bidi="ar-SA"/>
        </w:rPr>
      </w:pPr>
    </w:p>
    <w:p>
      <w:pPr>
        <w:rPr>
          <w:rFonts w:ascii="仿宋_GB2312" w:hAnsi="仿宋" w:eastAsia="仿宋_GB2312" w:cs="仿宋"/>
          <w:color w:val="000000"/>
          <w:kern w:val="0"/>
          <w:sz w:val="32"/>
          <w:szCs w:val="32"/>
          <w:lang w:val="en-US" w:eastAsia="zh-CN" w:bidi="ar-SA"/>
        </w:rPr>
      </w:pPr>
    </w:p>
    <w:p>
      <w:pPr>
        <w:rPr>
          <w:rFonts w:ascii="仿宋_GB2312" w:hAnsi="仿宋" w:eastAsia="仿宋_GB2312" w:cs="仿宋"/>
          <w:color w:val="000000"/>
          <w:kern w:val="0"/>
          <w:sz w:val="32"/>
          <w:szCs w:val="32"/>
          <w:lang w:val="en-US" w:eastAsia="zh-CN" w:bidi="ar-SA"/>
        </w:rPr>
      </w:pPr>
    </w:p>
    <w:p>
      <w:pPr>
        <w:jc w:val="center"/>
        <w:textAlignment w:val="baseline"/>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2021年9月13日</w:t>
      </w:r>
    </w:p>
    <w:p>
      <w:pPr>
        <w:rPr>
          <w:rFonts w:ascii="仿宋_GB2312" w:hAnsi="仿宋" w:eastAsia="仿宋_GB2312" w:cs="仿宋"/>
          <w:color w:val="000000"/>
          <w:kern w:val="0"/>
          <w:sz w:val="32"/>
          <w:szCs w:val="32"/>
          <w:lang w:val="en-US" w:eastAsia="zh-CN" w:bidi="ar-SA"/>
        </w:rPr>
      </w:pPr>
    </w:p>
    <w:p>
      <w:pPr>
        <w:jc w:val="left"/>
        <w:rPr>
          <w:lang w:val="en-US" w:eastAsia="zh-CN"/>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4427120"/>
    </w:sdtPr>
    <w:sdtContent>
      <w:p>
        <w:pPr>
          <w:pStyle w:val="6"/>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6"/>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41"/>
    <w:rsid w:val="00005D69"/>
    <w:rsid w:val="000137CD"/>
    <w:rsid w:val="00034619"/>
    <w:rsid w:val="000812E2"/>
    <w:rsid w:val="000858F1"/>
    <w:rsid w:val="000B246B"/>
    <w:rsid w:val="000D2F6A"/>
    <w:rsid w:val="000E1BCC"/>
    <w:rsid w:val="000E7F06"/>
    <w:rsid w:val="000F4516"/>
    <w:rsid w:val="00104965"/>
    <w:rsid w:val="001050E4"/>
    <w:rsid w:val="00107B1D"/>
    <w:rsid w:val="001153AC"/>
    <w:rsid w:val="00123FC8"/>
    <w:rsid w:val="00136673"/>
    <w:rsid w:val="00142481"/>
    <w:rsid w:val="00146AF5"/>
    <w:rsid w:val="00154FF5"/>
    <w:rsid w:val="001605D7"/>
    <w:rsid w:val="00162AFB"/>
    <w:rsid w:val="00163D8B"/>
    <w:rsid w:val="00173E85"/>
    <w:rsid w:val="0019753B"/>
    <w:rsid w:val="001A67E6"/>
    <w:rsid w:val="001A77F5"/>
    <w:rsid w:val="001B3FA5"/>
    <w:rsid w:val="001B5E9B"/>
    <w:rsid w:val="001C6358"/>
    <w:rsid w:val="001D555B"/>
    <w:rsid w:val="001F3BFF"/>
    <w:rsid w:val="0020286B"/>
    <w:rsid w:val="002070CD"/>
    <w:rsid w:val="00210367"/>
    <w:rsid w:val="002110B8"/>
    <w:rsid w:val="00213657"/>
    <w:rsid w:val="00241D27"/>
    <w:rsid w:val="002663C9"/>
    <w:rsid w:val="00274B02"/>
    <w:rsid w:val="00291F26"/>
    <w:rsid w:val="002C70F8"/>
    <w:rsid w:val="002D1B9F"/>
    <w:rsid w:val="002D47A1"/>
    <w:rsid w:val="002E41B1"/>
    <w:rsid w:val="00302FEA"/>
    <w:rsid w:val="00304FDE"/>
    <w:rsid w:val="00305B18"/>
    <w:rsid w:val="00320718"/>
    <w:rsid w:val="00330FD5"/>
    <w:rsid w:val="0033489B"/>
    <w:rsid w:val="00334FFB"/>
    <w:rsid w:val="00372360"/>
    <w:rsid w:val="003822EE"/>
    <w:rsid w:val="003965B8"/>
    <w:rsid w:val="003A22CA"/>
    <w:rsid w:val="003A7DB9"/>
    <w:rsid w:val="003B7106"/>
    <w:rsid w:val="003C6C45"/>
    <w:rsid w:val="003D0FB5"/>
    <w:rsid w:val="003E2A58"/>
    <w:rsid w:val="00401E52"/>
    <w:rsid w:val="00410160"/>
    <w:rsid w:val="00411836"/>
    <w:rsid w:val="00411DF3"/>
    <w:rsid w:val="0041406F"/>
    <w:rsid w:val="00425288"/>
    <w:rsid w:val="00435C3C"/>
    <w:rsid w:val="004363F1"/>
    <w:rsid w:val="00452255"/>
    <w:rsid w:val="00453D3B"/>
    <w:rsid w:val="00453EB6"/>
    <w:rsid w:val="00481FE1"/>
    <w:rsid w:val="0049016D"/>
    <w:rsid w:val="00497168"/>
    <w:rsid w:val="004B2F56"/>
    <w:rsid w:val="004B4C18"/>
    <w:rsid w:val="004B685E"/>
    <w:rsid w:val="004C0329"/>
    <w:rsid w:val="004C7D43"/>
    <w:rsid w:val="004D3EC5"/>
    <w:rsid w:val="004F3B6C"/>
    <w:rsid w:val="0050569C"/>
    <w:rsid w:val="00507DB9"/>
    <w:rsid w:val="00510548"/>
    <w:rsid w:val="00516071"/>
    <w:rsid w:val="0051643E"/>
    <w:rsid w:val="00517BC8"/>
    <w:rsid w:val="00540C05"/>
    <w:rsid w:val="00551DAE"/>
    <w:rsid w:val="00573A75"/>
    <w:rsid w:val="00586351"/>
    <w:rsid w:val="005877A3"/>
    <w:rsid w:val="005A068E"/>
    <w:rsid w:val="005A64C3"/>
    <w:rsid w:val="005C63C0"/>
    <w:rsid w:val="005D57A0"/>
    <w:rsid w:val="005E652D"/>
    <w:rsid w:val="005F185B"/>
    <w:rsid w:val="005F2D1D"/>
    <w:rsid w:val="00600755"/>
    <w:rsid w:val="006009F7"/>
    <w:rsid w:val="006072AC"/>
    <w:rsid w:val="00607CA6"/>
    <w:rsid w:val="00615586"/>
    <w:rsid w:val="00620B3A"/>
    <w:rsid w:val="00621E55"/>
    <w:rsid w:val="00635C4D"/>
    <w:rsid w:val="006528E8"/>
    <w:rsid w:val="0065520A"/>
    <w:rsid w:val="00676365"/>
    <w:rsid w:val="00681C72"/>
    <w:rsid w:val="00682E79"/>
    <w:rsid w:val="00691D27"/>
    <w:rsid w:val="006A7E98"/>
    <w:rsid w:val="006D623E"/>
    <w:rsid w:val="006D74DA"/>
    <w:rsid w:val="006F18F1"/>
    <w:rsid w:val="006F3299"/>
    <w:rsid w:val="007051D2"/>
    <w:rsid w:val="00711EC9"/>
    <w:rsid w:val="0071717C"/>
    <w:rsid w:val="007314F7"/>
    <w:rsid w:val="00731EC7"/>
    <w:rsid w:val="00732E60"/>
    <w:rsid w:val="00733074"/>
    <w:rsid w:val="00733535"/>
    <w:rsid w:val="0073676E"/>
    <w:rsid w:val="0074608A"/>
    <w:rsid w:val="00787C46"/>
    <w:rsid w:val="0079663E"/>
    <w:rsid w:val="007B2C01"/>
    <w:rsid w:val="007B64B6"/>
    <w:rsid w:val="007F6DE8"/>
    <w:rsid w:val="00817848"/>
    <w:rsid w:val="008236A2"/>
    <w:rsid w:val="00835241"/>
    <w:rsid w:val="00843036"/>
    <w:rsid w:val="00846A7A"/>
    <w:rsid w:val="00855C3F"/>
    <w:rsid w:val="00864C95"/>
    <w:rsid w:val="008857D6"/>
    <w:rsid w:val="00892F3A"/>
    <w:rsid w:val="00897E59"/>
    <w:rsid w:val="008A1083"/>
    <w:rsid w:val="008A5BE9"/>
    <w:rsid w:val="008A5F3D"/>
    <w:rsid w:val="008C2555"/>
    <w:rsid w:val="008D2C7E"/>
    <w:rsid w:val="008D3AA5"/>
    <w:rsid w:val="008D3E8C"/>
    <w:rsid w:val="008E2727"/>
    <w:rsid w:val="008E5F50"/>
    <w:rsid w:val="008F7FC6"/>
    <w:rsid w:val="00901FA7"/>
    <w:rsid w:val="00907798"/>
    <w:rsid w:val="0091274A"/>
    <w:rsid w:val="00915364"/>
    <w:rsid w:val="00920CF8"/>
    <w:rsid w:val="00923840"/>
    <w:rsid w:val="00935A93"/>
    <w:rsid w:val="00942298"/>
    <w:rsid w:val="009427F0"/>
    <w:rsid w:val="00945913"/>
    <w:rsid w:val="0095562C"/>
    <w:rsid w:val="009640E6"/>
    <w:rsid w:val="00974E1D"/>
    <w:rsid w:val="00975158"/>
    <w:rsid w:val="009810D5"/>
    <w:rsid w:val="00985262"/>
    <w:rsid w:val="009C07C3"/>
    <w:rsid w:val="009C616F"/>
    <w:rsid w:val="009D2D75"/>
    <w:rsid w:val="009D6E3B"/>
    <w:rsid w:val="009E68F4"/>
    <w:rsid w:val="009F5CAF"/>
    <w:rsid w:val="00A03536"/>
    <w:rsid w:val="00A17590"/>
    <w:rsid w:val="00A32C16"/>
    <w:rsid w:val="00A338DD"/>
    <w:rsid w:val="00A44C77"/>
    <w:rsid w:val="00A51958"/>
    <w:rsid w:val="00A611AD"/>
    <w:rsid w:val="00A667E5"/>
    <w:rsid w:val="00A76D29"/>
    <w:rsid w:val="00A82334"/>
    <w:rsid w:val="00A936A4"/>
    <w:rsid w:val="00A96ADA"/>
    <w:rsid w:val="00AA7417"/>
    <w:rsid w:val="00AB0F0E"/>
    <w:rsid w:val="00AB20A9"/>
    <w:rsid w:val="00AF0A24"/>
    <w:rsid w:val="00B14C7E"/>
    <w:rsid w:val="00B16E05"/>
    <w:rsid w:val="00B32780"/>
    <w:rsid w:val="00B54C4A"/>
    <w:rsid w:val="00B54DB1"/>
    <w:rsid w:val="00B61626"/>
    <w:rsid w:val="00B74A1D"/>
    <w:rsid w:val="00B80E94"/>
    <w:rsid w:val="00BA4E1C"/>
    <w:rsid w:val="00BC4FBB"/>
    <w:rsid w:val="00BD1591"/>
    <w:rsid w:val="00BE2A47"/>
    <w:rsid w:val="00BE77C5"/>
    <w:rsid w:val="00BF2B37"/>
    <w:rsid w:val="00C018A6"/>
    <w:rsid w:val="00C05EA0"/>
    <w:rsid w:val="00C164CA"/>
    <w:rsid w:val="00C21C26"/>
    <w:rsid w:val="00C40E86"/>
    <w:rsid w:val="00C72F09"/>
    <w:rsid w:val="00C93B91"/>
    <w:rsid w:val="00CB258F"/>
    <w:rsid w:val="00CB6B49"/>
    <w:rsid w:val="00CC3DA5"/>
    <w:rsid w:val="00CE06D7"/>
    <w:rsid w:val="00CE194F"/>
    <w:rsid w:val="00CE3121"/>
    <w:rsid w:val="00CF381D"/>
    <w:rsid w:val="00D13C7E"/>
    <w:rsid w:val="00D24534"/>
    <w:rsid w:val="00D3116C"/>
    <w:rsid w:val="00D347F1"/>
    <w:rsid w:val="00D43A3E"/>
    <w:rsid w:val="00D536B6"/>
    <w:rsid w:val="00D57475"/>
    <w:rsid w:val="00D60C96"/>
    <w:rsid w:val="00D62099"/>
    <w:rsid w:val="00D76590"/>
    <w:rsid w:val="00DC5048"/>
    <w:rsid w:val="00DC5D7B"/>
    <w:rsid w:val="00DD3586"/>
    <w:rsid w:val="00DD7FE9"/>
    <w:rsid w:val="00DE593C"/>
    <w:rsid w:val="00DE5EA8"/>
    <w:rsid w:val="00DF0E22"/>
    <w:rsid w:val="00E04336"/>
    <w:rsid w:val="00E23C46"/>
    <w:rsid w:val="00E25149"/>
    <w:rsid w:val="00E253D4"/>
    <w:rsid w:val="00E61576"/>
    <w:rsid w:val="00E658CF"/>
    <w:rsid w:val="00E67C74"/>
    <w:rsid w:val="00E810A2"/>
    <w:rsid w:val="00E84E36"/>
    <w:rsid w:val="00E93A61"/>
    <w:rsid w:val="00E96CD3"/>
    <w:rsid w:val="00ED72A6"/>
    <w:rsid w:val="00F01E29"/>
    <w:rsid w:val="00F142B4"/>
    <w:rsid w:val="00F14494"/>
    <w:rsid w:val="00F152DC"/>
    <w:rsid w:val="00F344B6"/>
    <w:rsid w:val="00F423E9"/>
    <w:rsid w:val="00F50EEE"/>
    <w:rsid w:val="00F563BE"/>
    <w:rsid w:val="00F75200"/>
    <w:rsid w:val="00F8276F"/>
    <w:rsid w:val="00FA6C94"/>
    <w:rsid w:val="00FB009E"/>
    <w:rsid w:val="00FB5830"/>
    <w:rsid w:val="00FC1246"/>
    <w:rsid w:val="00FC2F36"/>
    <w:rsid w:val="00FE73DF"/>
    <w:rsid w:val="00FF57EE"/>
    <w:rsid w:val="02A86FB7"/>
    <w:rsid w:val="03D45B1B"/>
    <w:rsid w:val="04001183"/>
    <w:rsid w:val="076C6B1B"/>
    <w:rsid w:val="0E274D69"/>
    <w:rsid w:val="10AD2921"/>
    <w:rsid w:val="10AF79BD"/>
    <w:rsid w:val="11847541"/>
    <w:rsid w:val="119249C9"/>
    <w:rsid w:val="132E5181"/>
    <w:rsid w:val="140362F8"/>
    <w:rsid w:val="17E92A65"/>
    <w:rsid w:val="19B55247"/>
    <w:rsid w:val="19EC6BBF"/>
    <w:rsid w:val="1BE21B42"/>
    <w:rsid w:val="1CD234CA"/>
    <w:rsid w:val="1D451AA5"/>
    <w:rsid w:val="20953C82"/>
    <w:rsid w:val="20F067DB"/>
    <w:rsid w:val="21E2219D"/>
    <w:rsid w:val="25D44CAA"/>
    <w:rsid w:val="2EA1304E"/>
    <w:rsid w:val="30330789"/>
    <w:rsid w:val="325503D2"/>
    <w:rsid w:val="35B208E2"/>
    <w:rsid w:val="39003BBC"/>
    <w:rsid w:val="39466115"/>
    <w:rsid w:val="39962EFC"/>
    <w:rsid w:val="39F851DC"/>
    <w:rsid w:val="3A0D37F6"/>
    <w:rsid w:val="3BAA1A04"/>
    <w:rsid w:val="3C182728"/>
    <w:rsid w:val="3C8E1A78"/>
    <w:rsid w:val="3E4428FE"/>
    <w:rsid w:val="406560DC"/>
    <w:rsid w:val="40D211FB"/>
    <w:rsid w:val="416C5E0A"/>
    <w:rsid w:val="42161F44"/>
    <w:rsid w:val="43F205BD"/>
    <w:rsid w:val="46202924"/>
    <w:rsid w:val="466E52CC"/>
    <w:rsid w:val="46C41F73"/>
    <w:rsid w:val="49DF5237"/>
    <w:rsid w:val="49EA6125"/>
    <w:rsid w:val="4AAA3F07"/>
    <w:rsid w:val="4B1902EC"/>
    <w:rsid w:val="4C17733C"/>
    <w:rsid w:val="4D205944"/>
    <w:rsid w:val="4D802FAB"/>
    <w:rsid w:val="4D8A35F1"/>
    <w:rsid w:val="4F7637BC"/>
    <w:rsid w:val="51B34A14"/>
    <w:rsid w:val="53B92FB4"/>
    <w:rsid w:val="561D2C57"/>
    <w:rsid w:val="563A70E2"/>
    <w:rsid w:val="567B4CBB"/>
    <w:rsid w:val="573B6A3C"/>
    <w:rsid w:val="576C31FA"/>
    <w:rsid w:val="5C920A42"/>
    <w:rsid w:val="63E17A3B"/>
    <w:rsid w:val="69EE7A03"/>
    <w:rsid w:val="6D3E4B5B"/>
    <w:rsid w:val="6F19009E"/>
    <w:rsid w:val="7071023F"/>
    <w:rsid w:val="71A0099D"/>
    <w:rsid w:val="71A64583"/>
    <w:rsid w:val="72266F49"/>
    <w:rsid w:val="736613EB"/>
    <w:rsid w:val="74571610"/>
    <w:rsid w:val="779F52DA"/>
    <w:rsid w:val="794B78FF"/>
    <w:rsid w:val="7A8E3516"/>
    <w:rsid w:val="7B9002DC"/>
    <w:rsid w:val="7C487FD1"/>
    <w:rsid w:val="7DCC3A57"/>
    <w:rsid w:val="7F41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w:basedOn w:val="1"/>
    <w:link w:val="23"/>
    <w:semiHidden/>
    <w:unhideWhenUsed/>
    <w:qFormat/>
    <w:uiPriority w:val="99"/>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2"/>
    <w:semiHidden/>
    <w:unhideWhenUsed/>
    <w:qFormat/>
    <w:uiPriority w:val="99"/>
    <w:rPr>
      <w:b/>
      <w:bCs/>
    </w:rPr>
  </w:style>
  <w:style w:type="paragraph" w:styleId="10">
    <w:name w:val="Body Text First Indent"/>
    <w:link w:val="24"/>
    <w:qFormat/>
    <w:uiPriority w:val="0"/>
    <w:pPr>
      <w:widowControl w:val="0"/>
      <w:ind w:firstLine="420" w:firstLineChars="100"/>
      <w:jc w:val="center"/>
    </w:pPr>
    <w:rPr>
      <w:rFonts w:ascii="Calibri" w:hAnsi="Calibri" w:eastAsia="华文中宋" w:cs="Calibri"/>
      <w:b/>
      <w:bCs/>
      <w:kern w:val="2"/>
      <w:sz w:val="44"/>
      <w:szCs w:val="24"/>
      <w:lang w:val="en-US" w:eastAsia="zh-CN" w:bidi="ar-SA"/>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basedOn w:val="13"/>
    <w:semiHidden/>
    <w:unhideWhenUsed/>
    <w:qFormat/>
    <w:uiPriority w:val="99"/>
    <w:rPr>
      <w:sz w:val="21"/>
      <w:szCs w:val="21"/>
    </w:rPr>
  </w:style>
  <w:style w:type="character" w:customStyle="1" w:styleId="15">
    <w:name w:val="标题 1 字符"/>
    <w:basedOn w:val="13"/>
    <w:link w:val="2"/>
    <w:qFormat/>
    <w:uiPriority w:val="9"/>
    <w:rPr>
      <w:b/>
      <w:bCs/>
      <w:kern w:val="44"/>
      <w:sz w:val="44"/>
      <w:szCs w:val="44"/>
    </w:rPr>
  </w:style>
  <w:style w:type="character" w:customStyle="1" w:styleId="16">
    <w:name w:val="页脚 字符"/>
    <w:basedOn w:val="13"/>
    <w:link w:val="6"/>
    <w:qFormat/>
    <w:uiPriority w:val="99"/>
    <w:rPr>
      <w:sz w:val="18"/>
      <w:szCs w:val="18"/>
    </w:rPr>
  </w:style>
  <w:style w:type="character" w:customStyle="1" w:styleId="17">
    <w:name w:val="fontstyle01"/>
    <w:basedOn w:val="13"/>
    <w:qFormat/>
    <w:uiPriority w:val="0"/>
    <w:rPr>
      <w:rFonts w:hint="eastAsia" w:ascii="仿宋_GB2312" w:eastAsia="仿宋_GB2312"/>
      <w:color w:val="000000"/>
      <w:sz w:val="32"/>
      <w:szCs w:val="32"/>
    </w:rPr>
  </w:style>
  <w:style w:type="character" w:customStyle="1" w:styleId="18">
    <w:name w:val="批注框文本 字符"/>
    <w:basedOn w:val="13"/>
    <w:link w:val="5"/>
    <w:semiHidden/>
    <w:qFormat/>
    <w:uiPriority w:val="99"/>
    <w:rPr>
      <w:kern w:val="2"/>
      <w:sz w:val="18"/>
      <w:szCs w:val="18"/>
    </w:rPr>
  </w:style>
  <w:style w:type="character" w:customStyle="1" w:styleId="19">
    <w:name w:val="页眉 字符"/>
    <w:basedOn w:val="13"/>
    <w:link w:val="7"/>
    <w:qFormat/>
    <w:uiPriority w:val="99"/>
    <w:rPr>
      <w:kern w:val="2"/>
      <w:sz w:val="18"/>
      <w:szCs w:val="18"/>
    </w:rPr>
  </w:style>
  <w:style w:type="character" w:customStyle="1" w:styleId="20">
    <w:name w:val="15"/>
    <w:basedOn w:val="13"/>
    <w:qFormat/>
    <w:uiPriority w:val="0"/>
    <w:rPr>
      <w:rFonts w:hint="default" w:ascii="仿宋_GB2312" w:hAnsi="仿宋_GB2312"/>
      <w:color w:val="000000"/>
      <w:sz w:val="32"/>
      <w:szCs w:val="32"/>
    </w:rPr>
  </w:style>
  <w:style w:type="character" w:customStyle="1" w:styleId="21">
    <w:name w:val="批注文字 字符"/>
    <w:basedOn w:val="13"/>
    <w:link w:val="3"/>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9"/>
    <w:semiHidden/>
    <w:qFormat/>
    <w:uiPriority w:val="99"/>
    <w:rPr>
      <w:rFonts w:asciiTheme="minorHAnsi" w:hAnsiTheme="minorHAnsi" w:eastAsiaTheme="minorEastAsia" w:cstheme="minorBidi"/>
      <w:b/>
      <w:bCs/>
      <w:kern w:val="2"/>
      <w:sz w:val="21"/>
      <w:szCs w:val="22"/>
    </w:rPr>
  </w:style>
  <w:style w:type="character" w:customStyle="1" w:styleId="23">
    <w:name w:val="正文文本 字符"/>
    <w:basedOn w:val="13"/>
    <w:link w:val="4"/>
    <w:semiHidden/>
    <w:qFormat/>
    <w:uiPriority w:val="99"/>
    <w:rPr>
      <w:rFonts w:asciiTheme="minorHAnsi" w:hAnsiTheme="minorHAnsi" w:eastAsiaTheme="minorEastAsia" w:cstheme="minorBidi"/>
      <w:kern w:val="2"/>
      <w:sz w:val="21"/>
      <w:szCs w:val="22"/>
    </w:rPr>
  </w:style>
  <w:style w:type="character" w:customStyle="1" w:styleId="24">
    <w:name w:val="正文文本首行缩进 字符"/>
    <w:basedOn w:val="23"/>
    <w:link w:val="10"/>
    <w:qFormat/>
    <w:uiPriority w:val="0"/>
    <w:rPr>
      <w:rFonts w:ascii="Calibri" w:hAnsi="Calibri" w:eastAsia="华文中宋" w:cs="Calibri"/>
      <w:b/>
      <w:bCs/>
      <w:kern w:val="2"/>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57CEC-8E1F-4623-9EDF-08636C3C33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1669</Words>
  <Characters>9519</Characters>
  <Lines>79</Lines>
  <Paragraphs>22</Paragraphs>
  <TotalTime>90</TotalTime>
  <ScaleCrop>false</ScaleCrop>
  <LinksUpToDate>false</LinksUpToDate>
  <CharactersWithSpaces>11166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2021-09-12T02:02:00Z</dcterms:created>
  <dc:creator>Administrator</dc:creator>
  <cp:lastModifiedBy>lenovo</cp:lastModifiedBy>
  <dcterms:modified xsi:type="dcterms:W3CDTF">2021-09-15T00:17:12Z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E7E6C9D996474146988C300FD5E9A214</vt:lpwstr>
  </property>
</Properties>
</file>